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8FFB6C" w14:textId="77777777" w:rsidR="008F327F" w:rsidRPr="008F327F" w:rsidRDefault="008F327F" w:rsidP="006F7FB0">
      <w:pPr>
        <w:pBdr>
          <w:bottom w:val="single" w:sz="6" w:space="4" w:color="003366"/>
        </w:pBdr>
        <w:shd w:val="clear" w:color="auto" w:fill="FFFFFF"/>
        <w:spacing w:after="450" w:line="240" w:lineRule="auto"/>
        <w:jc w:val="both"/>
        <w:outlineLvl w:val="0"/>
        <w:rPr>
          <w:rFonts w:ascii="Arial" w:eastAsia="Times New Roman" w:hAnsi="Arial" w:cs="Arial"/>
          <w:color w:val="333333"/>
          <w:kern w:val="36"/>
          <w:sz w:val="45"/>
          <w:szCs w:val="45"/>
          <w:lang w:eastAsia="it-IT"/>
        </w:rPr>
      </w:pPr>
      <w:bookmarkStart w:id="0" w:name="_GoBack"/>
      <w:bookmarkEnd w:id="0"/>
      <w:r w:rsidRPr="008F327F">
        <w:rPr>
          <w:rFonts w:ascii="Arial" w:eastAsia="Times New Roman" w:hAnsi="Arial" w:cs="Arial"/>
          <w:color w:val="333333"/>
          <w:kern w:val="36"/>
          <w:sz w:val="45"/>
          <w:szCs w:val="45"/>
          <w:lang w:eastAsia="it-IT"/>
        </w:rPr>
        <w:t>Linee guida per la redazione delle istanze di liquidazione degli esperti stimatori</w:t>
      </w:r>
    </w:p>
    <w:p w14:paraId="655CA308" w14:textId="345A643A" w:rsidR="00E772D2" w:rsidRPr="006F7FB0" w:rsidRDefault="00E772D2" w:rsidP="00E772D2">
      <w:pPr>
        <w:jc w:val="both"/>
        <w:rPr>
          <w:rFonts w:ascii="Arial" w:hAnsi="Arial" w:cs="Arial"/>
          <w:sz w:val="24"/>
          <w:szCs w:val="24"/>
        </w:rPr>
      </w:pPr>
      <w:r w:rsidRPr="006F7FB0">
        <w:rPr>
          <w:rFonts w:ascii="Arial" w:hAnsi="Arial" w:cs="Arial"/>
          <w:sz w:val="24"/>
          <w:szCs w:val="24"/>
        </w:rPr>
        <w:t>Ritenuto opportuno definire i criteri di liquidazione dei compensi dovuti agli esperti stimatori, anche al fine di semplificare la redazione delle parcelle e velocizzare le tempistiche delle liquidazioni, nonché renderle omogenee e quanto più possibile coerenti con l'effettivo valore della prestazione svolta, alla luce della complessità e della varietà delle operazioni richieste dalla nuova formulazione dell'art. 568 cpc e dell'art. 173-bis disp. att. cpc; tenuto conto, altresì, degli indirizzi interpretativi che si sono formati in materia,</w:t>
      </w:r>
    </w:p>
    <w:p w14:paraId="2DE764B7" w14:textId="41F120DD" w:rsidR="00E772D2" w:rsidRPr="006F7FB0" w:rsidRDefault="006F7FB0" w:rsidP="00E772D2">
      <w:pPr>
        <w:jc w:val="center"/>
        <w:rPr>
          <w:rFonts w:ascii="Arial" w:hAnsi="Arial" w:cs="Arial"/>
          <w:b/>
          <w:bCs/>
          <w:sz w:val="24"/>
          <w:szCs w:val="24"/>
        </w:rPr>
      </w:pPr>
      <w:r w:rsidRPr="006F7FB0">
        <w:rPr>
          <w:rFonts w:ascii="Arial" w:hAnsi="Arial" w:cs="Arial"/>
          <w:b/>
          <w:bCs/>
          <w:sz w:val="24"/>
          <w:szCs w:val="24"/>
        </w:rPr>
        <w:t>INDICA</w:t>
      </w:r>
    </w:p>
    <w:p w14:paraId="210F8F28" w14:textId="77777777" w:rsidR="00E772D2" w:rsidRPr="006F7FB0" w:rsidRDefault="00E772D2" w:rsidP="00E772D2">
      <w:pPr>
        <w:jc w:val="both"/>
        <w:rPr>
          <w:rFonts w:ascii="Arial" w:hAnsi="Arial" w:cs="Arial"/>
          <w:sz w:val="24"/>
          <w:szCs w:val="24"/>
        </w:rPr>
      </w:pPr>
      <w:r w:rsidRPr="006F7FB0">
        <w:rPr>
          <w:rFonts w:ascii="Arial" w:hAnsi="Arial" w:cs="Arial"/>
          <w:sz w:val="24"/>
          <w:szCs w:val="24"/>
        </w:rPr>
        <w:t>le linee operative a cui, d'ora in avanti, attenersi per la liquidazione delle notule degli Esperti stimatori, in tutte le procedure espropriative immobiliari pendenti, per le quali non sia già intervenuto un decreto di liquidazione del giudice.</w:t>
      </w:r>
    </w:p>
    <w:p w14:paraId="6CF3C0BA" w14:textId="5A86A7B5" w:rsidR="00E772D2" w:rsidRDefault="00E772D2" w:rsidP="00E772D2">
      <w:pPr>
        <w:jc w:val="both"/>
        <w:rPr>
          <w:rFonts w:ascii="Arial" w:hAnsi="Arial" w:cs="Arial"/>
          <w:sz w:val="24"/>
          <w:szCs w:val="24"/>
        </w:rPr>
      </w:pPr>
      <w:r w:rsidRPr="006F7FB0">
        <w:rPr>
          <w:rFonts w:ascii="Arial" w:hAnsi="Arial" w:cs="Arial"/>
          <w:sz w:val="24"/>
          <w:szCs w:val="24"/>
        </w:rPr>
        <w:t>Va opportunamente premesso che l'istanza di liquidazione dovrà essere redatta in conformità al D.P.R. n. 115/2002 (Testo Unico delle Disposizioni Legislative e Regolamentari in materia di Spese di Giustizia), al Decreto Ministeriale 30.5.2002 (Adeguamento dei compensi spettanti ai periti, consulenti tecnici, interpreti e traduttori per le operazioni eseguite su disposizione dell'Autorità Giudiziaria in materia civile e penale) con relativo allegato (tabelle contenenti la misura degli onorati fissi e di quelli variabili dei periti, consulenti tecnici, per le operazioni eseguite su disposizione dell'Autorità Giudiziaria civile e penale, in attuazione dell'art. 2 della legge n. 319/1980), nonché ai criteri di cui alle seguenti istruzioni.</w:t>
      </w:r>
    </w:p>
    <w:p w14:paraId="7ADCBA65" w14:textId="04DA4696" w:rsidR="006F7FB0" w:rsidRPr="006F7FB0" w:rsidRDefault="006F7FB0" w:rsidP="00E772D2">
      <w:pPr>
        <w:jc w:val="both"/>
        <w:rPr>
          <w:rFonts w:ascii="Arial" w:hAnsi="Arial" w:cs="Arial"/>
          <w:sz w:val="24"/>
          <w:szCs w:val="24"/>
        </w:rPr>
      </w:pPr>
      <w:r>
        <w:rPr>
          <w:rFonts w:ascii="Arial" w:hAnsi="Arial" w:cs="Arial"/>
          <w:sz w:val="24"/>
          <w:szCs w:val="24"/>
        </w:rPr>
        <w:t xml:space="preserve">Gli esperti per la redazione dell’istanza di liquidazione dovranno compilare il modello reperibile presso la Cancelleria delle esecuzioni immobiliari e sul sito internet del Tribunale di Lagonegro. </w:t>
      </w:r>
    </w:p>
    <w:p w14:paraId="4A36A0FD" w14:textId="421050E4" w:rsidR="00E772D2" w:rsidRPr="006F7FB0" w:rsidRDefault="00E772D2" w:rsidP="00E772D2">
      <w:pPr>
        <w:jc w:val="both"/>
        <w:rPr>
          <w:rFonts w:ascii="Arial" w:hAnsi="Arial" w:cs="Arial"/>
          <w:b/>
          <w:bCs/>
          <w:sz w:val="24"/>
          <w:szCs w:val="24"/>
        </w:rPr>
      </w:pPr>
      <w:r w:rsidRPr="006F7FB0">
        <w:rPr>
          <w:rFonts w:ascii="Arial" w:hAnsi="Arial" w:cs="Arial"/>
          <w:b/>
          <w:bCs/>
          <w:sz w:val="24"/>
          <w:szCs w:val="24"/>
        </w:rPr>
        <w:t>Compensi</w:t>
      </w:r>
    </w:p>
    <w:p w14:paraId="2CCAEFAA" w14:textId="6706540C" w:rsidR="00E772D2" w:rsidRPr="006F7FB0" w:rsidRDefault="00E772D2" w:rsidP="00E772D2">
      <w:pPr>
        <w:pStyle w:val="Paragrafoelenco"/>
        <w:numPr>
          <w:ilvl w:val="0"/>
          <w:numId w:val="1"/>
        </w:numPr>
        <w:jc w:val="both"/>
        <w:rPr>
          <w:rFonts w:ascii="Arial" w:hAnsi="Arial" w:cs="Arial"/>
          <w:b/>
          <w:bCs/>
          <w:sz w:val="24"/>
          <w:szCs w:val="24"/>
        </w:rPr>
      </w:pPr>
      <w:r w:rsidRPr="006F7FB0">
        <w:rPr>
          <w:rFonts w:ascii="Arial" w:hAnsi="Arial" w:cs="Arial"/>
          <w:b/>
          <w:bCs/>
          <w:sz w:val="24"/>
          <w:szCs w:val="24"/>
        </w:rPr>
        <w:t>Compenso per la stima analitica del compendio pignorato: compenso ex art. 13 DM. 30.5.2002.</w:t>
      </w:r>
    </w:p>
    <w:p w14:paraId="005919DD" w14:textId="77777777" w:rsidR="00E772D2" w:rsidRPr="006F7FB0" w:rsidRDefault="00E772D2" w:rsidP="00E772D2">
      <w:pPr>
        <w:jc w:val="both"/>
        <w:rPr>
          <w:rFonts w:ascii="Arial" w:hAnsi="Arial" w:cs="Arial"/>
          <w:sz w:val="24"/>
          <w:szCs w:val="24"/>
        </w:rPr>
      </w:pPr>
      <w:r w:rsidRPr="006F7FB0">
        <w:rPr>
          <w:rFonts w:ascii="Arial" w:hAnsi="Arial" w:cs="Arial"/>
          <w:sz w:val="24"/>
          <w:szCs w:val="24"/>
        </w:rPr>
        <w:t>Liquidazione compenso perito stimatore</w:t>
      </w:r>
    </w:p>
    <w:p w14:paraId="7541E33D" w14:textId="77777777" w:rsidR="00E772D2" w:rsidRPr="006F7FB0" w:rsidRDefault="00E772D2" w:rsidP="00E772D2">
      <w:pPr>
        <w:jc w:val="both"/>
        <w:rPr>
          <w:rFonts w:ascii="Arial" w:hAnsi="Arial" w:cs="Arial"/>
          <w:sz w:val="24"/>
          <w:szCs w:val="24"/>
        </w:rPr>
      </w:pPr>
      <w:r w:rsidRPr="006F7FB0">
        <w:rPr>
          <w:rFonts w:ascii="Arial" w:hAnsi="Arial" w:cs="Arial"/>
          <w:sz w:val="24"/>
          <w:szCs w:val="24"/>
        </w:rPr>
        <w:t>Il compenso liquidabile all'esperto per la stima degli immobili è regolato dal D.P.R. n. 115/2002 e dal Decreto Ministeriale 30.5.2002, con relativo allegato (tabelle).</w:t>
      </w:r>
    </w:p>
    <w:p w14:paraId="7BB77E97" w14:textId="77777777" w:rsidR="00E772D2" w:rsidRPr="006F7FB0" w:rsidRDefault="00E772D2" w:rsidP="00E772D2">
      <w:pPr>
        <w:jc w:val="both"/>
        <w:rPr>
          <w:rFonts w:ascii="Arial" w:hAnsi="Arial" w:cs="Arial"/>
          <w:sz w:val="24"/>
          <w:szCs w:val="24"/>
        </w:rPr>
      </w:pPr>
      <w:r w:rsidRPr="006F7FB0">
        <w:rPr>
          <w:rFonts w:ascii="Arial" w:hAnsi="Arial" w:cs="Arial"/>
          <w:sz w:val="24"/>
          <w:szCs w:val="24"/>
        </w:rPr>
        <w:t>In particolare, l'onorario relativo alle operazioni di pura stima del compendio immobiliare va liquidato con riferimento all'art. 13 della tabella annessa al Decreto Min. 30 maggio 2002, determinando il compenso sulla base del valore di aggiudicazione dei beni oggetto di perizia.</w:t>
      </w:r>
    </w:p>
    <w:p w14:paraId="18FC1C11" w14:textId="77777777" w:rsidR="00E772D2" w:rsidRPr="006F7FB0" w:rsidRDefault="00E772D2" w:rsidP="00E772D2">
      <w:pPr>
        <w:jc w:val="both"/>
        <w:rPr>
          <w:rFonts w:ascii="Arial" w:hAnsi="Arial" w:cs="Arial"/>
          <w:sz w:val="24"/>
          <w:szCs w:val="24"/>
        </w:rPr>
      </w:pPr>
      <w:r w:rsidRPr="006F7FB0">
        <w:rPr>
          <w:rFonts w:ascii="Arial" w:hAnsi="Arial" w:cs="Arial"/>
          <w:sz w:val="24"/>
          <w:szCs w:val="24"/>
        </w:rPr>
        <w:lastRenderedPageBreak/>
        <w:t xml:space="preserve">Tale compenso presuppone che l'esperto abbia svolto interamente l'attività peritale e depositato il relativo elaborato </w:t>
      </w:r>
      <w:r w:rsidRPr="006F7FB0">
        <w:rPr>
          <w:rFonts w:ascii="Arial" w:hAnsi="Arial" w:cs="Arial"/>
          <w:sz w:val="24"/>
          <w:szCs w:val="24"/>
          <w:u w:val="single"/>
        </w:rPr>
        <w:t>nel rispetto dei termini</w:t>
      </w:r>
      <w:r w:rsidRPr="006F7FB0">
        <w:rPr>
          <w:rFonts w:ascii="Arial" w:hAnsi="Arial" w:cs="Arial"/>
          <w:sz w:val="24"/>
          <w:szCs w:val="24"/>
        </w:rPr>
        <w:t xml:space="preserve"> concessi con il decreto di nomina, o successivamente prorogati dal Giudice su specifica e motivata richiesta. </w:t>
      </w:r>
    </w:p>
    <w:p w14:paraId="58429956" w14:textId="77777777" w:rsidR="00E772D2" w:rsidRPr="006F7FB0" w:rsidRDefault="00E772D2" w:rsidP="00E772D2">
      <w:pPr>
        <w:jc w:val="both"/>
        <w:rPr>
          <w:rFonts w:ascii="Arial" w:hAnsi="Arial" w:cs="Arial"/>
          <w:sz w:val="24"/>
          <w:szCs w:val="24"/>
        </w:rPr>
      </w:pPr>
      <w:r w:rsidRPr="006F7FB0">
        <w:rPr>
          <w:rFonts w:ascii="Arial" w:hAnsi="Arial" w:cs="Arial"/>
          <w:sz w:val="24"/>
          <w:szCs w:val="24"/>
        </w:rPr>
        <w:t xml:space="preserve">L'elaborato peritale deve includere necessariamente una chiara descrizione del compendio, corredato di fotografie e l'esplicitazione dei criteri di stima. L'aliquota equa che, di massima, si ritiene di dover applicare è quella dell'80% del valore ricompreso tra le aliquote relative agli scaglioni minimi e massimi. </w:t>
      </w:r>
    </w:p>
    <w:p w14:paraId="47F55B84" w14:textId="77777777" w:rsidR="00E772D2" w:rsidRPr="006F7FB0" w:rsidRDefault="00E772D2" w:rsidP="00E772D2">
      <w:pPr>
        <w:jc w:val="both"/>
        <w:rPr>
          <w:rFonts w:ascii="Arial" w:hAnsi="Arial" w:cs="Arial"/>
          <w:sz w:val="24"/>
          <w:szCs w:val="24"/>
        </w:rPr>
      </w:pPr>
      <w:r w:rsidRPr="006F7FB0">
        <w:rPr>
          <w:rFonts w:ascii="Arial" w:hAnsi="Arial" w:cs="Arial"/>
          <w:sz w:val="24"/>
          <w:szCs w:val="24"/>
        </w:rPr>
        <w:t xml:space="preserve">Il valore di riferimento del bene stimato al fine dell'individuazione dello scaglione da applicate è quello corrispondente al prezzo base di aggiudicazione del bene pignorato. </w:t>
      </w:r>
    </w:p>
    <w:p w14:paraId="49805094" w14:textId="564FA18C" w:rsidR="00E772D2" w:rsidRPr="006F7FB0" w:rsidRDefault="00E772D2" w:rsidP="00E772D2">
      <w:pPr>
        <w:jc w:val="both"/>
        <w:rPr>
          <w:rFonts w:ascii="Arial" w:hAnsi="Arial" w:cs="Arial"/>
          <w:sz w:val="24"/>
          <w:szCs w:val="24"/>
        </w:rPr>
      </w:pPr>
      <w:r w:rsidRPr="006F7FB0">
        <w:rPr>
          <w:rFonts w:ascii="Arial" w:hAnsi="Arial" w:cs="Arial"/>
          <w:sz w:val="24"/>
          <w:szCs w:val="24"/>
        </w:rPr>
        <w:t>Gli esperti, per chiarezza, in ogni caso, indicheranno lo scaglione minimo, medio e massimo dell'aliquota di riferimento.</w:t>
      </w:r>
    </w:p>
    <w:p w14:paraId="5AA022FE" w14:textId="77777777" w:rsidR="00E772D2" w:rsidRPr="006F7FB0" w:rsidRDefault="00E772D2" w:rsidP="00E772D2">
      <w:pPr>
        <w:jc w:val="both"/>
        <w:rPr>
          <w:rFonts w:ascii="Arial" w:hAnsi="Arial" w:cs="Arial"/>
          <w:sz w:val="24"/>
          <w:szCs w:val="24"/>
        </w:rPr>
      </w:pPr>
      <w:r w:rsidRPr="006F7FB0">
        <w:rPr>
          <w:rFonts w:ascii="Arial" w:hAnsi="Arial" w:cs="Arial"/>
          <w:sz w:val="24"/>
          <w:szCs w:val="24"/>
        </w:rPr>
        <w:t xml:space="preserve">Si raccomanda di non scendere mai sotto i minimi previsti come di non travalicare mai i </w:t>
      </w:r>
      <w:proofErr w:type="spellStart"/>
      <w:r w:rsidRPr="006F7FB0">
        <w:rPr>
          <w:rFonts w:ascii="Arial" w:hAnsi="Arial" w:cs="Arial"/>
          <w:sz w:val="24"/>
          <w:szCs w:val="24"/>
        </w:rPr>
        <w:t>Illassimi</w:t>
      </w:r>
      <w:proofErr w:type="spellEnd"/>
      <w:r w:rsidRPr="006F7FB0">
        <w:rPr>
          <w:rFonts w:ascii="Arial" w:hAnsi="Arial" w:cs="Arial"/>
          <w:sz w:val="24"/>
          <w:szCs w:val="24"/>
        </w:rPr>
        <w:t xml:space="preserve"> previsti, costituendo ciò violazione di legge.</w:t>
      </w:r>
    </w:p>
    <w:p w14:paraId="4C6B5353" w14:textId="4FA93C2C" w:rsidR="00E772D2" w:rsidRPr="006F7FB0" w:rsidRDefault="00E772D2" w:rsidP="00E772D2">
      <w:pPr>
        <w:jc w:val="both"/>
        <w:rPr>
          <w:rFonts w:ascii="Arial" w:hAnsi="Arial" w:cs="Arial"/>
          <w:sz w:val="24"/>
          <w:szCs w:val="24"/>
        </w:rPr>
      </w:pPr>
      <w:r w:rsidRPr="006F7FB0">
        <w:rPr>
          <w:rFonts w:ascii="Arial" w:hAnsi="Arial" w:cs="Arial"/>
          <w:sz w:val="24"/>
          <w:szCs w:val="24"/>
        </w:rPr>
        <w:t>Nel compenso è inclusa la obbligatoria partecipazione del perito all'udienza ex art. 569 0 600 cpc, o alle udienze di rinvio della stessa, e a tutte le udienze in contraddittorio fissate in corso di procedura per la valutazione di problematiche tecniche.</w:t>
      </w:r>
    </w:p>
    <w:p w14:paraId="2A764877" w14:textId="45163012" w:rsidR="00E772D2" w:rsidRPr="006F7FB0" w:rsidRDefault="00E772D2" w:rsidP="00E772D2">
      <w:pPr>
        <w:pStyle w:val="Paragrafoelenco"/>
        <w:numPr>
          <w:ilvl w:val="0"/>
          <w:numId w:val="1"/>
        </w:numPr>
        <w:jc w:val="both"/>
        <w:rPr>
          <w:rFonts w:ascii="Arial" w:hAnsi="Arial" w:cs="Arial"/>
          <w:b/>
          <w:bCs/>
          <w:sz w:val="24"/>
          <w:szCs w:val="24"/>
        </w:rPr>
      </w:pPr>
      <w:r w:rsidRPr="006F7FB0">
        <w:rPr>
          <w:rFonts w:ascii="Arial" w:hAnsi="Arial" w:cs="Arial"/>
          <w:b/>
          <w:bCs/>
          <w:sz w:val="24"/>
          <w:szCs w:val="24"/>
        </w:rPr>
        <w:t>Pluralità di lotti</w:t>
      </w:r>
    </w:p>
    <w:p w14:paraId="4C6863F4" w14:textId="4561F8A0" w:rsidR="00E772D2" w:rsidRPr="006F7FB0" w:rsidRDefault="00E772D2" w:rsidP="00E772D2">
      <w:pPr>
        <w:jc w:val="both"/>
        <w:rPr>
          <w:rFonts w:ascii="Arial" w:hAnsi="Arial" w:cs="Arial"/>
          <w:sz w:val="24"/>
          <w:szCs w:val="24"/>
        </w:rPr>
      </w:pPr>
      <w:r w:rsidRPr="006F7FB0">
        <w:rPr>
          <w:rFonts w:ascii="Arial" w:hAnsi="Arial" w:cs="Arial"/>
          <w:sz w:val="24"/>
          <w:szCs w:val="24"/>
        </w:rPr>
        <w:t xml:space="preserve">Se la stima del compendio immobiliare riguarda una pluralità di immobili, aventi caratteri di evidente omogeneità (uguale tipologia o caratteristiche degli immobili, ubicati nel territorio del medesimo Comune, fabbricato o compendio immobiliare, che quindi comportino operazioni peritali ripetitive - come in caso di appartamento, cantina e posto auto tutti ubicati nel medesimo stabile, oppure diversi corpi di fabbrica del medesimo complesso industriale, oppure terreno di pertinenza di villino unifamiliare anche se alienabile separatamente, oppure più appartamenti siti nel medesimo complesso immobiliare aventi caratteristiche analoghe, per dimensioni, caratteristiche), indipendentemente dalla formazione di più lotti di vendita, </w:t>
      </w:r>
      <w:r w:rsidRPr="006F7FB0">
        <w:rPr>
          <w:rFonts w:ascii="Arial" w:hAnsi="Arial" w:cs="Arial"/>
          <w:sz w:val="24"/>
          <w:szCs w:val="24"/>
          <w:u w:val="single"/>
        </w:rPr>
        <w:t>il compenso sarà calcolato considerando il valore complessivo dei beni pignorati, in ossequio alla consolidata giurisprudenza in materia</w:t>
      </w:r>
      <w:r w:rsidR="00E276AF" w:rsidRPr="006F7FB0">
        <w:rPr>
          <w:rStyle w:val="Rimandonotaapidipagina"/>
          <w:rFonts w:ascii="Arial" w:hAnsi="Arial" w:cs="Arial"/>
          <w:sz w:val="24"/>
          <w:szCs w:val="24"/>
          <w:u w:val="single"/>
        </w:rPr>
        <w:footnoteReference w:id="1"/>
      </w:r>
      <w:r w:rsidRPr="006F7FB0">
        <w:rPr>
          <w:rFonts w:ascii="Arial" w:hAnsi="Arial" w:cs="Arial"/>
          <w:sz w:val="24"/>
          <w:szCs w:val="24"/>
        </w:rPr>
        <w:t xml:space="preserve">. Di contro, se la pluralità di immobili </w:t>
      </w:r>
      <w:r w:rsidRPr="006F7FB0">
        <w:rPr>
          <w:rFonts w:ascii="Arial" w:hAnsi="Arial" w:cs="Arial"/>
          <w:sz w:val="24"/>
          <w:szCs w:val="24"/>
        </w:rPr>
        <w:lastRenderedPageBreak/>
        <w:t>è ubicata in territori di Comuni diversi, e se gli immobili medesimi sono del tutto differenti tra loro per caratteristiche e tipologia, la liquidazione del compenso sarà determinata per ciascuna singola stima, con gli opportuni conguagli a conclusione di tutte le operazioni di vendita.</w:t>
      </w:r>
    </w:p>
    <w:p w14:paraId="5BCF6872" w14:textId="77777777" w:rsidR="00E772D2" w:rsidRPr="006F7FB0" w:rsidRDefault="00E772D2" w:rsidP="00E772D2">
      <w:pPr>
        <w:jc w:val="both"/>
        <w:rPr>
          <w:rFonts w:ascii="Arial" w:hAnsi="Arial" w:cs="Arial"/>
          <w:sz w:val="24"/>
          <w:szCs w:val="24"/>
        </w:rPr>
      </w:pPr>
      <w:r w:rsidRPr="006F7FB0">
        <w:rPr>
          <w:rFonts w:ascii="Arial" w:hAnsi="Arial" w:cs="Arial"/>
          <w:sz w:val="24"/>
          <w:szCs w:val="24"/>
        </w:rPr>
        <w:t>Nel caso sia stata pignorata una quota indivisa del bene, la base di calcolo e comunque da riferire all'intero valore dell'immobile.</w:t>
      </w:r>
    </w:p>
    <w:p w14:paraId="3EE6D154" w14:textId="7A546FC6" w:rsidR="00E772D2" w:rsidRPr="006F7FB0" w:rsidRDefault="00E772D2" w:rsidP="00E276AF">
      <w:pPr>
        <w:pStyle w:val="Paragrafoelenco"/>
        <w:numPr>
          <w:ilvl w:val="0"/>
          <w:numId w:val="1"/>
        </w:numPr>
        <w:jc w:val="both"/>
        <w:rPr>
          <w:rFonts w:ascii="Arial" w:hAnsi="Arial" w:cs="Arial"/>
          <w:b/>
          <w:bCs/>
          <w:sz w:val="24"/>
          <w:szCs w:val="24"/>
        </w:rPr>
      </w:pPr>
      <w:r w:rsidRPr="006F7FB0">
        <w:rPr>
          <w:rFonts w:ascii="Arial" w:hAnsi="Arial" w:cs="Arial"/>
          <w:b/>
          <w:bCs/>
          <w:sz w:val="24"/>
          <w:szCs w:val="24"/>
        </w:rPr>
        <w:t>Acconto</w:t>
      </w:r>
      <w:r w:rsidR="00E276AF" w:rsidRPr="006F7FB0">
        <w:rPr>
          <w:rFonts w:ascii="Arial" w:hAnsi="Arial" w:cs="Arial"/>
          <w:b/>
          <w:bCs/>
          <w:sz w:val="24"/>
          <w:szCs w:val="24"/>
        </w:rPr>
        <w:t xml:space="preserve"> art. 161 disp. Att. cpc</w:t>
      </w:r>
    </w:p>
    <w:p w14:paraId="483F15B9" w14:textId="33B71555" w:rsidR="00E772D2" w:rsidRPr="006F7FB0" w:rsidRDefault="00E276AF" w:rsidP="00E772D2">
      <w:pPr>
        <w:jc w:val="both"/>
        <w:rPr>
          <w:rFonts w:ascii="Arial" w:hAnsi="Arial" w:cs="Arial"/>
          <w:sz w:val="24"/>
          <w:szCs w:val="24"/>
        </w:rPr>
      </w:pPr>
      <w:r w:rsidRPr="006F7FB0">
        <w:rPr>
          <w:rFonts w:ascii="Arial" w:hAnsi="Arial" w:cs="Arial"/>
          <w:sz w:val="24"/>
          <w:szCs w:val="24"/>
        </w:rPr>
        <w:t xml:space="preserve">Al </w:t>
      </w:r>
      <w:r w:rsidR="00E772D2" w:rsidRPr="006F7FB0">
        <w:rPr>
          <w:rFonts w:ascii="Arial" w:hAnsi="Arial" w:cs="Arial"/>
          <w:sz w:val="24"/>
          <w:szCs w:val="24"/>
        </w:rPr>
        <w:t>momento del deposito della relazione, può essere riconosciuto in acconto solo nella misura del 50% e deve essere calcolato sul valore di stima.</w:t>
      </w:r>
    </w:p>
    <w:p w14:paraId="373128BC" w14:textId="2CE1E315" w:rsidR="00E772D2" w:rsidRPr="006F7FB0" w:rsidRDefault="00E772D2" w:rsidP="00E772D2">
      <w:pPr>
        <w:jc w:val="both"/>
        <w:rPr>
          <w:rFonts w:ascii="Arial" w:hAnsi="Arial" w:cs="Arial"/>
          <w:sz w:val="24"/>
          <w:szCs w:val="24"/>
        </w:rPr>
      </w:pPr>
      <w:r w:rsidRPr="006F7FB0">
        <w:rPr>
          <w:rFonts w:ascii="Arial" w:hAnsi="Arial" w:cs="Arial"/>
          <w:sz w:val="24"/>
          <w:szCs w:val="24"/>
        </w:rPr>
        <w:t>La liquidazione avverrà all'esito dell'udienza ex artt. 569 0 600 cpc</w:t>
      </w:r>
      <w:r w:rsidR="00E276AF" w:rsidRPr="006F7FB0">
        <w:rPr>
          <w:rFonts w:ascii="Arial" w:hAnsi="Arial" w:cs="Arial"/>
          <w:sz w:val="24"/>
          <w:szCs w:val="24"/>
        </w:rPr>
        <w:t xml:space="preserve">. </w:t>
      </w:r>
    </w:p>
    <w:p w14:paraId="5C5016D9" w14:textId="77777777" w:rsidR="00E276AF" w:rsidRPr="006F7FB0" w:rsidRDefault="00E772D2" w:rsidP="00E276AF">
      <w:pPr>
        <w:pStyle w:val="Paragrafoelenco"/>
        <w:numPr>
          <w:ilvl w:val="0"/>
          <w:numId w:val="1"/>
        </w:numPr>
        <w:jc w:val="both"/>
        <w:rPr>
          <w:rFonts w:ascii="Arial" w:hAnsi="Arial" w:cs="Arial"/>
          <w:b/>
          <w:bCs/>
          <w:sz w:val="24"/>
          <w:szCs w:val="24"/>
        </w:rPr>
      </w:pPr>
      <w:r w:rsidRPr="006F7FB0">
        <w:rPr>
          <w:rFonts w:ascii="Arial" w:hAnsi="Arial" w:cs="Arial"/>
          <w:b/>
          <w:bCs/>
          <w:sz w:val="24"/>
          <w:szCs w:val="24"/>
        </w:rPr>
        <w:t>Saldo</w:t>
      </w:r>
      <w:r w:rsidR="00E276AF" w:rsidRPr="006F7FB0">
        <w:rPr>
          <w:rFonts w:ascii="Arial" w:hAnsi="Arial" w:cs="Arial"/>
          <w:b/>
          <w:bCs/>
          <w:sz w:val="24"/>
          <w:szCs w:val="24"/>
        </w:rPr>
        <w:t xml:space="preserve"> art. 161 disp. Att. cpc</w:t>
      </w:r>
    </w:p>
    <w:p w14:paraId="044ED0CF" w14:textId="77777777" w:rsidR="00E772D2" w:rsidRPr="006F7FB0" w:rsidRDefault="00E772D2" w:rsidP="00E772D2">
      <w:pPr>
        <w:jc w:val="both"/>
        <w:rPr>
          <w:rFonts w:ascii="Arial" w:hAnsi="Arial" w:cs="Arial"/>
          <w:sz w:val="24"/>
          <w:szCs w:val="24"/>
        </w:rPr>
      </w:pPr>
      <w:r w:rsidRPr="006F7FB0">
        <w:rPr>
          <w:rFonts w:ascii="Arial" w:hAnsi="Arial" w:cs="Arial"/>
          <w:sz w:val="24"/>
          <w:szCs w:val="24"/>
        </w:rPr>
        <w:t>L'esperto matura il diritto al saldo del compenso con la aggiudicazione e tale compenso viene calcolato sul prezzo effettivo della stessa. La liquidazione viene effettuata al momento della sottoscrizione da parte del Giudice del decreto di trasferimento.</w:t>
      </w:r>
    </w:p>
    <w:p w14:paraId="5EAD515D" w14:textId="7C0767F7" w:rsidR="00E772D2" w:rsidRPr="006F7FB0" w:rsidRDefault="00E772D2" w:rsidP="00E772D2">
      <w:pPr>
        <w:jc w:val="both"/>
        <w:rPr>
          <w:rFonts w:ascii="Arial" w:hAnsi="Arial" w:cs="Arial"/>
          <w:sz w:val="24"/>
          <w:szCs w:val="24"/>
        </w:rPr>
      </w:pPr>
      <w:r w:rsidRPr="006F7FB0">
        <w:rPr>
          <w:rFonts w:ascii="Arial" w:hAnsi="Arial" w:cs="Arial"/>
          <w:sz w:val="24"/>
          <w:szCs w:val="24"/>
        </w:rPr>
        <w:t xml:space="preserve">La domanda di liquidazione del compenso definitivo per la stima del bene, ai sensi dell'art. 161, terzo comma, disp. att. cpc, dovrà essere presentata prima della predisposizione del progetto di </w:t>
      </w:r>
      <w:r w:rsidR="00E276AF" w:rsidRPr="006F7FB0">
        <w:rPr>
          <w:rFonts w:ascii="Arial" w:hAnsi="Arial" w:cs="Arial"/>
          <w:sz w:val="24"/>
          <w:szCs w:val="24"/>
        </w:rPr>
        <w:t>distribuzione</w:t>
      </w:r>
      <w:r w:rsidRPr="006F7FB0">
        <w:rPr>
          <w:rFonts w:ascii="Arial" w:hAnsi="Arial" w:cs="Arial"/>
          <w:sz w:val="24"/>
          <w:szCs w:val="24"/>
        </w:rPr>
        <w:t xml:space="preserve"> predisposto dal professionista delegato, all'esito della aggiudicazione dei beni oggetto della procedura.</w:t>
      </w:r>
    </w:p>
    <w:p w14:paraId="3A175785" w14:textId="77777777" w:rsidR="00E772D2" w:rsidRPr="006F7FB0" w:rsidRDefault="00E772D2" w:rsidP="00E276AF">
      <w:pPr>
        <w:pStyle w:val="Paragrafoelenco"/>
        <w:numPr>
          <w:ilvl w:val="0"/>
          <w:numId w:val="1"/>
        </w:numPr>
        <w:jc w:val="both"/>
        <w:rPr>
          <w:rFonts w:ascii="Arial" w:hAnsi="Arial" w:cs="Arial"/>
          <w:b/>
          <w:bCs/>
          <w:sz w:val="24"/>
          <w:szCs w:val="24"/>
        </w:rPr>
      </w:pPr>
      <w:r w:rsidRPr="006F7FB0">
        <w:rPr>
          <w:rFonts w:ascii="Arial" w:hAnsi="Arial" w:cs="Arial"/>
          <w:b/>
          <w:bCs/>
          <w:sz w:val="24"/>
          <w:szCs w:val="24"/>
        </w:rPr>
        <w:t>Estinzione anticipata della procedura esecutiva</w:t>
      </w:r>
    </w:p>
    <w:p w14:paraId="2C855106" w14:textId="77777777" w:rsidR="00E772D2" w:rsidRPr="006F7FB0" w:rsidRDefault="00E772D2" w:rsidP="00E772D2">
      <w:pPr>
        <w:jc w:val="both"/>
        <w:rPr>
          <w:rFonts w:ascii="Arial" w:hAnsi="Arial" w:cs="Arial"/>
          <w:sz w:val="24"/>
          <w:szCs w:val="24"/>
        </w:rPr>
      </w:pPr>
      <w:r w:rsidRPr="006F7FB0">
        <w:rPr>
          <w:rFonts w:ascii="Arial" w:hAnsi="Arial" w:cs="Arial"/>
          <w:sz w:val="24"/>
          <w:szCs w:val="24"/>
        </w:rPr>
        <w:t>Nel caso in cui la procedura si arresti prima della aggiudicazione (estinzione a vario titolo, chiusura anticipata ex art. 164 bis disp. att. cpc), l'esperto ha comunque diritto al saldo, calcolato sul prezzo stimato, e la liquidazione avverrà all'atto della pronuncia dei suddetti provvedimenti.</w:t>
      </w:r>
    </w:p>
    <w:p w14:paraId="11822681" w14:textId="77777777" w:rsidR="00E772D2" w:rsidRPr="006F7FB0" w:rsidRDefault="00E772D2" w:rsidP="00E772D2">
      <w:pPr>
        <w:jc w:val="both"/>
        <w:rPr>
          <w:rFonts w:ascii="Arial" w:hAnsi="Arial" w:cs="Arial"/>
          <w:sz w:val="24"/>
          <w:szCs w:val="24"/>
        </w:rPr>
      </w:pPr>
      <w:r w:rsidRPr="006F7FB0">
        <w:rPr>
          <w:rFonts w:ascii="Arial" w:hAnsi="Arial" w:cs="Arial"/>
          <w:sz w:val="24"/>
          <w:szCs w:val="24"/>
        </w:rPr>
        <w:t>Nel caso in cui la procedura si arresti dopo l'esperimento di uno o più tentativi di vendita, la liquidazione del saldo avverrà con riferimento al prezzo base dell'ultimo tentativo di vendita.</w:t>
      </w:r>
    </w:p>
    <w:p w14:paraId="490BD5BD" w14:textId="77777777" w:rsidR="00E772D2" w:rsidRPr="006F7FB0" w:rsidRDefault="00E772D2" w:rsidP="00E276AF">
      <w:pPr>
        <w:pStyle w:val="Paragrafoelenco"/>
        <w:numPr>
          <w:ilvl w:val="0"/>
          <w:numId w:val="1"/>
        </w:numPr>
        <w:jc w:val="both"/>
        <w:rPr>
          <w:rFonts w:ascii="Arial" w:hAnsi="Arial" w:cs="Arial"/>
          <w:b/>
          <w:bCs/>
          <w:sz w:val="24"/>
          <w:szCs w:val="24"/>
        </w:rPr>
      </w:pPr>
      <w:r w:rsidRPr="006F7FB0">
        <w:rPr>
          <w:rFonts w:ascii="Arial" w:hAnsi="Arial" w:cs="Arial"/>
          <w:b/>
          <w:bCs/>
          <w:sz w:val="24"/>
          <w:szCs w:val="24"/>
        </w:rPr>
        <w:t>Apertura del sub-procedimento di conversione del pignoramento</w:t>
      </w:r>
    </w:p>
    <w:p w14:paraId="66139A4F" w14:textId="77777777" w:rsidR="00E772D2" w:rsidRPr="006F7FB0" w:rsidRDefault="00E772D2" w:rsidP="00E772D2">
      <w:pPr>
        <w:jc w:val="both"/>
        <w:rPr>
          <w:rFonts w:ascii="Arial" w:hAnsi="Arial" w:cs="Arial"/>
          <w:sz w:val="24"/>
          <w:szCs w:val="24"/>
        </w:rPr>
      </w:pPr>
      <w:r w:rsidRPr="006F7FB0">
        <w:rPr>
          <w:rFonts w:ascii="Arial" w:hAnsi="Arial" w:cs="Arial"/>
          <w:sz w:val="24"/>
          <w:szCs w:val="24"/>
        </w:rPr>
        <w:t>In caso di conversione del pignoramento, si provvederà, all'atto del deposito dell'istanza di conversione, alla liquidazione dell'acconto del 50% del valore di stima, anche se ai fini della determinazione della somma da sostituire si considera l'intero compenso del 100%. Il saldo verrà liquidato all'esito positivo della conversione.</w:t>
      </w:r>
    </w:p>
    <w:p w14:paraId="1913C30F" w14:textId="1704600E" w:rsidR="00E772D2" w:rsidRPr="006F7FB0" w:rsidRDefault="00E772D2" w:rsidP="00E276AF">
      <w:pPr>
        <w:pStyle w:val="Paragrafoelenco"/>
        <w:numPr>
          <w:ilvl w:val="0"/>
          <w:numId w:val="1"/>
        </w:numPr>
        <w:jc w:val="both"/>
        <w:rPr>
          <w:rFonts w:ascii="Arial" w:hAnsi="Arial" w:cs="Arial"/>
          <w:b/>
          <w:bCs/>
          <w:sz w:val="24"/>
          <w:szCs w:val="24"/>
        </w:rPr>
      </w:pPr>
      <w:r w:rsidRPr="006F7FB0">
        <w:rPr>
          <w:rFonts w:ascii="Arial" w:hAnsi="Arial" w:cs="Arial"/>
          <w:b/>
          <w:bCs/>
          <w:sz w:val="24"/>
          <w:szCs w:val="24"/>
        </w:rPr>
        <w:t xml:space="preserve">Compenso per le ulteriori attività previste dall' art. 173 bis </w:t>
      </w:r>
      <w:proofErr w:type="spellStart"/>
      <w:proofErr w:type="gramStart"/>
      <w:r w:rsidRPr="006F7FB0">
        <w:rPr>
          <w:rFonts w:ascii="Arial" w:hAnsi="Arial" w:cs="Arial"/>
          <w:b/>
          <w:bCs/>
          <w:sz w:val="24"/>
          <w:szCs w:val="24"/>
        </w:rPr>
        <w:t>dis</w:t>
      </w:r>
      <w:proofErr w:type="spellEnd"/>
      <w:r w:rsidRPr="006F7FB0">
        <w:rPr>
          <w:rFonts w:ascii="Arial" w:hAnsi="Arial" w:cs="Arial"/>
          <w:b/>
          <w:bCs/>
          <w:sz w:val="24"/>
          <w:szCs w:val="24"/>
        </w:rPr>
        <w:t xml:space="preserve"> .</w:t>
      </w:r>
      <w:proofErr w:type="gramEnd"/>
      <w:r w:rsidRPr="006F7FB0">
        <w:rPr>
          <w:rFonts w:ascii="Arial" w:hAnsi="Arial" w:cs="Arial"/>
          <w:b/>
          <w:bCs/>
          <w:sz w:val="24"/>
          <w:szCs w:val="24"/>
        </w:rPr>
        <w:t xml:space="preserve"> att. c </w:t>
      </w:r>
      <w:proofErr w:type="spellStart"/>
      <w:r w:rsidRPr="006F7FB0">
        <w:rPr>
          <w:rFonts w:ascii="Arial" w:hAnsi="Arial" w:cs="Arial"/>
          <w:b/>
          <w:bCs/>
          <w:sz w:val="24"/>
          <w:szCs w:val="24"/>
        </w:rPr>
        <w:t>c</w:t>
      </w:r>
      <w:proofErr w:type="spellEnd"/>
    </w:p>
    <w:p w14:paraId="6F9491C5" w14:textId="6910ACD5" w:rsidR="00E772D2" w:rsidRPr="006F7FB0" w:rsidRDefault="00E772D2" w:rsidP="00E772D2">
      <w:pPr>
        <w:jc w:val="both"/>
        <w:rPr>
          <w:rFonts w:ascii="Arial" w:hAnsi="Arial" w:cs="Arial"/>
          <w:b/>
          <w:bCs/>
          <w:sz w:val="24"/>
          <w:szCs w:val="24"/>
        </w:rPr>
      </w:pPr>
      <w:r w:rsidRPr="006F7FB0">
        <w:rPr>
          <w:rFonts w:ascii="Arial" w:hAnsi="Arial" w:cs="Arial"/>
          <w:b/>
          <w:bCs/>
          <w:sz w:val="24"/>
          <w:szCs w:val="24"/>
        </w:rPr>
        <w:t>Compenso ex art. 12 DM 30.5.2002</w:t>
      </w:r>
      <w:r w:rsidR="00E276AF" w:rsidRPr="006F7FB0">
        <w:rPr>
          <w:rFonts w:ascii="Arial" w:hAnsi="Arial" w:cs="Arial"/>
          <w:b/>
          <w:bCs/>
          <w:sz w:val="24"/>
          <w:szCs w:val="24"/>
        </w:rPr>
        <w:t xml:space="preserve"> (</w:t>
      </w:r>
      <w:r w:rsidRPr="006F7FB0">
        <w:rPr>
          <w:rFonts w:ascii="Arial" w:hAnsi="Arial" w:cs="Arial"/>
          <w:b/>
          <w:bCs/>
          <w:sz w:val="24"/>
          <w:szCs w:val="24"/>
        </w:rPr>
        <w:t>Verifica delle regolarità urbanistica ed edilizia</w:t>
      </w:r>
      <w:r w:rsidR="00E276AF" w:rsidRPr="006F7FB0">
        <w:rPr>
          <w:rFonts w:ascii="Arial" w:hAnsi="Arial" w:cs="Arial"/>
          <w:b/>
          <w:bCs/>
          <w:sz w:val="24"/>
          <w:szCs w:val="24"/>
        </w:rPr>
        <w:t xml:space="preserve">). </w:t>
      </w:r>
    </w:p>
    <w:p w14:paraId="31A9304C" w14:textId="77777777" w:rsidR="00E772D2" w:rsidRPr="006F7FB0" w:rsidRDefault="00E772D2" w:rsidP="00E772D2">
      <w:pPr>
        <w:jc w:val="both"/>
        <w:rPr>
          <w:rFonts w:ascii="Arial" w:hAnsi="Arial" w:cs="Arial"/>
          <w:sz w:val="24"/>
          <w:szCs w:val="24"/>
        </w:rPr>
      </w:pPr>
      <w:r w:rsidRPr="006F7FB0">
        <w:rPr>
          <w:rFonts w:ascii="Arial" w:hAnsi="Arial" w:cs="Arial"/>
          <w:sz w:val="24"/>
          <w:szCs w:val="24"/>
        </w:rPr>
        <w:lastRenderedPageBreak/>
        <w:t>L'art. 12 della tabella annessa al Decreta Ministero della Giustizia 30 maggio 2002 prevede un compenso aggiuntivo rispetto a quello determinato ex art. 13 cit., che viene corrisposto in relazione all'effettuazione, da parte dell'Esperto, di una serie di ulteriori adempimenti.</w:t>
      </w:r>
    </w:p>
    <w:p w14:paraId="42AEA5A8" w14:textId="77777777" w:rsidR="00E772D2" w:rsidRPr="006F7FB0" w:rsidRDefault="00E772D2" w:rsidP="00E772D2">
      <w:pPr>
        <w:jc w:val="both"/>
        <w:rPr>
          <w:rFonts w:ascii="Arial" w:hAnsi="Arial" w:cs="Arial"/>
          <w:sz w:val="24"/>
          <w:szCs w:val="24"/>
        </w:rPr>
      </w:pPr>
      <w:r w:rsidRPr="006F7FB0">
        <w:rPr>
          <w:rFonts w:ascii="Arial" w:hAnsi="Arial" w:cs="Arial"/>
          <w:sz w:val="24"/>
          <w:szCs w:val="24"/>
        </w:rPr>
        <w:t xml:space="preserve">In particolare, l'onorario per le attività di verifica della regolarità urbanistica ed edilizia dell'immobile e per gli accertamenti </w:t>
      </w:r>
      <w:proofErr w:type="spellStart"/>
      <w:r w:rsidRPr="006F7FB0">
        <w:rPr>
          <w:rFonts w:ascii="Arial" w:hAnsi="Arial" w:cs="Arial"/>
          <w:sz w:val="24"/>
          <w:szCs w:val="24"/>
        </w:rPr>
        <w:t>ipo</w:t>
      </w:r>
      <w:proofErr w:type="spellEnd"/>
      <w:r w:rsidRPr="006F7FB0">
        <w:rPr>
          <w:rFonts w:ascii="Arial" w:hAnsi="Arial" w:cs="Arial"/>
          <w:sz w:val="24"/>
          <w:szCs w:val="24"/>
        </w:rPr>
        <w:t xml:space="preserve">-catastali, compresa l'acquisizione della scheda catastale, </w:t>
      </w:r>
      <w:proofErr w:type="spellStart"/>
      <w:r w:rsidRPr="006F7FB0">
        <w:rPr>
          <w:rFonts w:ascii="Arial" w:hAnsi="Arial" w:cs="Arial"/>
          <w:sz w:val="24"/>
          <w:szCs w:val="24"/>
        </w:rPr>
        <w:t>é</w:t>
      </w:r>
      <w:proofErr w:type="spellEnd"/>
      <w:r w:rsidRPr="006F7FB0">
        <w:rPr>
          <w:rFonts w:ascii="Arial" w:hAnsi="Arial" w:cs="Arial"/>
          <w:sz w:val="24"/>
          <w:szCs w:val="24"/>
        </w:rPr>
        <w:t xml:space="preserve"> liquidato ai sensi dell'art. 12 comma 1 della tabella annessa al Decreto del Ministero della Giustizia 30 maggio 2002.</w:t>
      </w:r>
    </w:p>
    <w:p w14:paraId="4115F3E6" w14:textId="77777777" w:rsidR="00E772D2" w:rsidRPr="006F7FB0" w:rsidRDefault="00E772D2" w:rsidP="00E772D2">
      <w:pPr>
        <w:jc w:val="both"/>
        <w:rPr>
          <w:rFonts w:ascii="Arial" w:hAnsi="Arial" w:cs="Arial"/>
          <w:sz w:val="24"/>
          <w:szCs w:val="24"/>
        </w:rPr>
      </w:pPr>
      <w:r w:rsidRPr="006F7FB0">
        <w:rPr>
          <w:rFonts w:ascii="Arial" w:hAnsi="Arial" w:cs="Arial"/>
          <w:sz w:val="24"/>
          <w:szCs w:val="24"/>
        </w:rPr>
        <w:t>Il compenso (per il quale valgono le indicazioni di massima di cui sopra circa l'aliquota riconoscibile) è riferito a ciascun compendio immobiliare omogeneo. Tale importo deve ritenersi comprensivo anche del corrispettivo per l'attività di valutazione sintetica, speditiva e presuntiva delle opere di rimessa in pristino, in alternativa alla presentazione, se possibile, della sanatoria.</w:t>
      </w:r>
    </w:p>
    <w:p w14:paraId="023A9E8B" w14:textId="77777777" w:rsidR="00E772D2" w:rsidRPr="006F7FB0" w:rsidRDefault="00E772D2" w:rsidP="00E772D2">
      <w:pPr>
        <w:jc w:val="both"/>
        <w:rPr>
          <w:rFonts w:ascii="Arial" w:hAnsi="Arial" w:cs="Arial"/>
          <w:sz w:val="24"/>
          <w:szCs w:val="24"/>
        </w:rPr>
      </w:pPr>
      <w:r w:rsidRPr="006F7FB0">
        <w:rPr>
          <w:rFonts w:ascii="Arial" w:hAnsi="Arial" w:cs="Arial"/>
          <w:sz w:val="24"/>
          <w:szCs w:val="24"/>
        </w:rPr>
        <w:t>Tale compenso sarà interamente liquidato all'esito dell'udienza ex art. 569 0 600 cpc.</w:t>
      </w:r>
    </w:p>
    <w:p w14:paraId="1DE0E1C3" w14:textId="77777777" w:rsidR="00E772D2" w:rsidRPr="006F7FB0" w:rsidRDefault="00E772D2" w:rsidP="00E772D2">
      <w:pPr>
        <w:jc w:val="both"/>
        <w:rPr>
          <w:rFonts w:ascii="Arial" w:hAnsi="Arial" w:cs="Arial"/>
          <w:b/>
          <w:bCs/>
          <w:sz w:val="24"/>
          <w:szCs w:val="24"/>
        </w:rPr>
      </w:pPr>
      <w:r w:rsidRPr="006F7FB0">
        <w:rPr>
          <w:rFonts w:ascii="Arial" w:hAnsi="Arial" w:cs="Arial"/>
          <w:b/>
          <w:bCs/>
          <w:sz w:val="24"/>
          <w:szCs w:val="24"/>
        </w:rPr>
        <w:t>Rilievo, sviluppo e redazione di autonoma planimetria del compendio</w:t>
      </w:r>
    </w:p>
    <w:p w14:paraId="5741B036" w14:textId="77777777" w:rsidR="00E772D2" w:rsidRPr="006F7FB0" w:rsidRDefault="00E772D2" w:rsidP="00E772D2">
      <w:pPr>
        <w:jc w:val="both"/>
        <w:rPr>
          <w:rFonts w:ascii="Arial" w:hAnsi="Arial" w:cs="Arial"/>
          <w:sz w:val="24"/>
          <w:szCs w:val="24"/>
        </w:rPr>
      </w:pPr>
      <w:r w:rsidRPr="006F7FB0">
        <w:rPr>
          <w:rFonts w:ascii="Arial" w:hAnsi="Arial" w:cs="Arial"/>
          <w:sz w:val="24"/>
          <w:szCs w:val="24"/>
        </w:rPr>
        <w:t>L'onorario relativo alle operazioni di rilievo metrico dell'immobile, di sviluppo dei relativi calcoli, e di redazione di autonoma planimetria di edifici, è liquidato ex art. 12 comma 2 della tabella annessa al Decreto del Ministero della Giustizia 30 maggio 2002, sempre secondo le indicazioni di massima di cui sopra, per ciascuna unità immobiliare rilevata, compresa di eventuali pertinenze di ridotte dimensioni, qualora si redatta, ex novo, la restituzione grafica dell'immobile, senza l'ausilio delle planimetrie reperite dagli accertamenti svolti (catastali e/o estratti di procedimenti amministrativi), debitamente quotate e complete di tutte le informazioni necessarie (destinazione dei locali, altezze e superfici).</w:t>
      </w:r>
    </w:p>
    <w:p w14:paraId="0E11E535" w14:textId="77777777" w:rsidR="00E772D2" w:rsidRPr="006F7FB0" w:rsidRDefault="00E772D2" w:rsidP="00E772D2">
      <w:pPr>
        <w:jc w:val="both"/>
        <w:rPr>
          <w:rFonts w:ascii="Arial" w:hAnsi="Arial" w:cs="Arial"/>
          <w:sz w:val="24"/>
          <w:szCs w:val="24"/>
        </w:rPr>
      </w:pPr>
      <w:r w:rsidRPr="006F7FB0">
        <w:rPr>
          <w:rFonts w:ascii="Arial" w:hAnsi="Arial" w:cs="Arial"/>
          <w:sz w:val="24"/>
          <w:szCs w:val="24"/>
        </w:rPr>
        <w:t>Diversamente, in caso di attività solo di rilievo, l'onorario sarà liquidato nell'importo di € 200,00.</w:t>
      </w:r>
    </w:p>
    <w:p w14:paraId="5F92D0B5" w14:textId="77777777" w:rsidR="00E772D2" w:rsidRPr="006F7FB0" w:rsidRDefault="00E772D2" w:rsidP="00E772D2">
      <w:pPr>
        <w:jc w:val="both"/>
        <w:rPr>
          <w:rFonts w:ascii="Arial" w:hAnsi="Arial" w:cs="Arial"/>
          <w:sz w:val="24"/>
          <w:szCs w:val="24"/>
        </w:rPr>
      </w:pPr>
      <w:r w:rsidRPr="006F7FB0">
        <w:rPr>
          <w:rFonts w:ascii="Arial" w:hAnsi="Arial" w:cs="Arial"/>
          <w:sz w:val="24"/>
          <w:szCs w:val="24"/>
        </w:rPr>
        <w:t xml:space="preserve">Tale compenso sarà interamente liquidato all'esito dell'udienza ex art. 569 0 600 </w:t>
      </w:r>
      <w:proofErr w:type="spellStart"/>
      <w:r w:rsidRPr="006F7FB0">
        <w:rPr>
          <w:rFonts w:ascii="Arial" w:hAnsi="Arial" w:cs="Arial"/>
          <w:sz w:val="24"/>
          <w:szCs w:val="24"/>
        </w:rPr>
        <w:t>c.p.c</w:t>
      </w:r>
      <w:proofErr w:type="spellEnd"/>
      <w:proofErr w:type="gramStart"/>
      <w:r w:rsidRPr="006F7FB0">
        <w:rPr>
          <w:rFonts w:ascii="Arial" w:hAnsi="Arial" w:cs="Arial"/>
          <w:sz w:val="24"/>
          <w:szCs w:val="24"/>
        </w:rPr>
        <w:t xml:space="preserve"> ..</w:t>
      </w:r>
      <w:proofErr w:type="gramEnd"/>
    </w:p>
    <w:p w14:paraId="0900B507" w14:textId="4B9C47BB" w:rsidR="00E772D2" w:rsidRPr="006F7FB0" w:rsidRDefault="00E772D2" w:rsidP="00323E8E">
      <w:pPr>
        <w:pStyle w:val="Paragrafoelenco"/>
        <w:numPr>
          <w:ilvl w:val="0"/>
          <w:numId w:val="1"/>
        </w:numPr>
        <w:jc w:val="both"/>
        <w:rPr>
          <w:rFonts w:ascii="Arial" w:hAnsi="Arial" w:cs="Arial"/>
          <w:b/>
          <w:bCs/>
          <w:sz w:val="24"/>
          <w:szCs w:val="24"/>
        </w:rPr>
      </w:pPr>
      <w:r w:rsidRPr="006F7FB0">
        <w:rPr>
          <w:rFonts w:ascii="Arial" w:hAnsi="Arial" w:cs="Arial"/>
          <w:b/>
          <w:bCs/>
          <w:sz w:val="24"/>
          <w:szCs w:val="24"/>
        </w:rPr>
        <w:t>Compenso ex art. 16 DM 30.5.2002</w:t>
      </w:r>
      <w:r w:rsidR="00E276AF" w:rsidRPr="006F7FB0">
        <w:rPr>
          <w:rFonts w:ascii="Arial" w:hAnsi="Arial" w:cs="Arial"/>
          <w:b/>
          <w:bCs/>
          <w:sz w:val="24"/>
          <w:szCs w:val="24"/>
        </w:rPr>
        <w:t xml:space="preserve"> (</w:t>
      </w:r>
      <w:r w:rsidRPr="006F7FB0">
        <w:rPr>
          <w:rFonts w:ascii="Arial" w:hAnsi="Arial" w:cs="Arial"/>
          <w:b/>
          <w:bCs/>
          <w:sz w:val="24"/>
          <w:szCs w:val="24"/>
        </w:rPr>
        <w:t>Verifica della congruità del canone di locazione</w:t>
      </w:r>
      <w:r w:rsidR="00E276AF" w:rsidRPr="006F7FB0">
        <w:rPr>
          <w:rFonts w:ascii="Arial" w:hAnsi="Arial" w:cs="Arial"/>
          <w:b/>
          <w:bCs/>
          <w:sz w:val="24"/>
          <w:szCs w:val="24"/>
        </w:rPr>
        <w:t>)</w:t>
      </w:r>
    </w:p>
    <w:p w14:paraId="7B2D82AA" w14:textId="77777777" w:rsidR="00E772D2" w:rsidRPr="006F7FB0" w:rsidRDefault="00E772D2" w:rsidP="00E772D2">
      <w:pPr>
        <w:jc w:val="both"/>
        <w:rPr>
          <w:rFonts w:ascii="Arial" w:hAnsi="Arial" w:cs="Arial"/>
          <w:sz w:val="24"/>
          <w:szCs w:val="24"/>
        </w:rPr>
      </w:pPr>
      <w:r w:rsidRPr="006F7FB0">
        <w:rPr>
          <w:rFonts w:ascii="Arial" w:hAnsi="Arial" w:cs="Arial"/>
          <w:sz w:val="24"/>
          <w:szCs w:val="24"/>
        </w:rPr>
        <w:t>Per l'attività di verifica della congruità del canone indicato in un contratto di locazione, è riconosciuto un onorario equamente rapportabile al valore locativo e alla complessità dell'attività svolta, ai sensi dell'art. 16 del Decreto del Ministro della Giustizia 30 maggio 2002.</w:t>
      </w:r>
    </w:p>
    <w:p w14:paraId="3FA682A3" w14:textId="77777777" w:rsidR="00E276AF" w:rsidRPr="006F7FB0" w:rsidRDefault="00E772D2" w:rsidP="00E772D2">
      <w:pPr>
        <w:jc w:val="both"/>
        <w:rPr>
          <w:rFonts w:ascii="Arial" w:hAnsi="Arial" w:cs="Arial"/>
          <w:sz w:val="24"/>
          <w:szCs w:val="24"/>
        </w:rPr>
      </w:pPr>
      <w:r w:rsidRPr="006F7FB0">
        <w:rPr>
          <w:rFonts w:ascii="Arial" w:hAnsi="Arial" w:cs="Arial"/>
          <w:sz w:val="24"/>
          <w:szCs w:val="24"/>
        </w:rPr>
        <w:t>Tale compenso sarà interamente liquidato all'esito dell'udienza ex art. 569 0 600 cpc.</w:t>
      </w:r>
    </w:p>
    <w:p w14:paraId="7A97A464" w14:textId="4EE1988F" w:rsidR="00E772D2" w:rsidRPr="006F7FB0" w:rsidRDefault="00E772D2" w:rsidP="00E276AF">
      <w:pPr>
        <w:pStyle w:val="Paragrafoelenco"/>
        <w:numPr>
          <w:ilvl w:val="0"/>
          <w:numId w:val="1"/>
        </w:numPr>
        <w:jc w:val="both"/>
        <w:rPr>
          <w:rFonts w:ascii="Arial" w:hAnsi="Arial" w:cs="Arial"/>
          <w:b/>
          <w:bCs/>
          <w:sz w:val="24"/>
          <w:szCs w:val="24"/>
        </w:rPr>
      </w:pPr>
      <w:r w:rsidRPr="006F7FB0">
        <w:rPr>
          <w:rFonts w:ascii="Arial" w:hAnsi="Arial" w:cs="Arial"/>
          <w:b/>
          <w:bCs/>
          <w:sz w:val="24"/>
          <w:szCs w:val="24"/>
        </w:rPr>
        <w:t>Vacazioni</w:t>
      </w:r>
    </w:p>
    <w:p w14:paraId="268A8D29" w14:textId="77777777" w:rsidR="00E772D2" w:rsidRPr="006F7FB0" w:rsidRDefault="00E772D2" w:rsidP="00E772D2">
      <w:pPr>
        <w:jc w:val="both"/>
        <w:rPr>
          <w:rFonts w:ascii="Arial" w:hAnsi="Arial" w:cs="Arial"/>
          <w:sz w:val="24"/>
          <w:szCs w:val="24"/>
        </w:rPr>
      </w:pPr>
      <w:r w:rsidRPr="006F7FB0">
        <w:rPr>
          <w:rFonts w:ascii="Arial" w:hAnsi="Arial" w:cs="Arial"/>
          <w:sz w:val="24"/>
          <w:szCs w:val="24"/>
        </w:rPr>
        <w:t>La liquidazione avverrà utilizzando il criterio delle vacazioni, ai sensi dell'art. 1 tabella allegata al D.M. Giustizia 30 maggio 2002, solamente:</w:t>
      </w:r>
    </w:p>
    <w:p w14:paraId="2C56290D" w14:textId="77777777" w:rsidR="00E772D2" w:rsidRPr="006F7FB0" w:rsidRDefault="00E772D2" w:rsidP="00E772D2">
      <w:pPr>
        <w:jc w:val="both"/>
        <w:rPr>
          <w:rFonts w:ascii="Arial" w:hAnsi="Arial" w:cs="Arial"/>
          <w:sz w:val="24"/>
          <w:szCs w:val="24"/>
        </w:rPr>
      </w:pPr>
      <w:r w:rsidRPr="006F7FB0">
        <w:rPr>
          <w:rFonts w:ascii="Arial" w:hAnsi="Arial" w:cs="Arial"/>
          <w:sz w:val="24"/>
          <w:szCs w:val="24"/>
        </w:rPr>
        <w:lastRenderedPageBreak/>
        <w:t>a)</w:t>
      </w:r>
      <w:r w:rsidRPr="006F7FB0">
        <w:rPr>
          <w:rFonts w:ascii="Arial" w:hAnsi="Arial" w:cs="Arial"/>
          <w:sz w:val="24"/>
          <w:szCs w:val="24"/>
        </w:rPr>
        <w:tab/>
        <w:t>nei casi di estinzione o chiusura anticipata della procedura, prima che sia stata depositata la relazione peritale (in caso di rinuncia agli atti, ad esempio), dando atto con esattezza delle attività espletate e del tempo impiegato;</w:t>
      </w:r>
    </w:p>
    <w:p w14:paraId="00719252" w14:textId="77777777" w:rsidR="00E772D2" w:rsidRPr="006F7FB0" w:rsidRDefault="00E772D2" w:rsidP="00E772D2">
      <w:pPr>
        <w:jc w:val="both"/>
        <w:rPr>
          <w:rFonts w:ascii="Arial" w:hAnsi="Arial" w:cs="Arial"/>
          <w:sz w:val="24"/>
          <w:szCs w:val="24"/>
        </w:rPr>
      </w:pPr>
      <w:r w:rsidRPr="006F7FB0">
        <w:rPr>
          <w:rFonts w:ascii="Arial" w:hAnsi="Arial" w:cs="Arial"/>
          <w:sz w:val="24"/>
          <w:szCs w:val="24"/>
        </w:rPr>
        <w:t>b)</w:t>
      </w:r>
      <w:r w:rsidRPr="006F7FB0">
        <w:rPr>
          <w:rFonts w:ascii="Arial" w:hAnsi="Arial" w:cs="Arial"/>
          <w:sz w:val="24"/>
          <w:szCs w:val="24"/>
        </w:rPr>
        <w:tab/>
        <w:t>nei casi di perizia integrativa, e solo quando l'integrazione non derivi da omissioni o incompletezza rinvenibili nella relazione depositata rispetto al quesito assegnato;</w:t>
      </w:r>
    </w:p>
    <w:p w14:paraId="200708EA" w14:textId="77777777" w:rsidR="00E772D2" w:rsidRPr="006F7FB0" w:rsidRDefault="00E772D2" w:rsidP="00E772D2">
      <w:pPr>
        <w:jc w:val="both"/>
        <w:rPr>
          <w:rFonts w:ascii="Arial" w:hAnsi="Arial" w:cs="Arial"/>
          <w:sz w:val="24"/>
          <w:szCs w:val="24"/>
        </w:rPr>
      </w:pPr>
      <w:r w:rsidRPr="006F7FB0">
        <w:rPr>
          <w:rFonts w:ascii="Arial" w:hAnsi="Arial" w:cs="Arial"/>
          <w:sz w:val="24"/>
          <w:szCs w:val="24"/>
        </w:rPr>
        <w:t>c)</w:t>
      </w:r>
      <w:r w:rsidRPr="006F7FB0">
        <w:rPr>
          <w:rFonts w:ascii="Arial" w:hAnsi="Arial" w:cs="Arial"/>
          <w:sz w:val="24"/>
          <w:szCs w:val="24"/>
        </w:rPr>
        <w:tab/>
        <w:t>per la stesura del progetto divisionale o di un progetto di separazione in natura;</w:t>
      </w:r>
    </w:p>
    <w:p w14:paraId="48EDCA88" w14:textId="76A5DBA8" w:rsidR="00E772D2" w:rsidRPr="006F7FB0" w:rsidRDefault="00E772D2" w:rsidP="00E772D2">
      <w:pPr>
        <w:jc w:val="both"/>
        <w:rPr>
          <w:rFonts w:ascii="Arial" w:hAnsi="Arial" w:cs="Arial"/>
          <w:sz w:val="24"/>
          <w:szCs w:val="24"/>
        </w:rPr>
      </w:pPr>
      <w:r w:rsidRPr="006F7FB0">
        <w:rPr>
          <w:rFonts w:ascii="Arial" w:hAnsi="Arial" w:cs="Arial"/>
          <w:sz w:val="24"/>
          <w:szCs w:val="24"/>
        </w:rPr>
        <w:t>d)</w:t>
      </w:r>
      <w:r w:rsidRPr="006F7FB0">
        <w:rPr>
          <w:rFonts w:ascii="Arial" w:hAnsi="Arial" w:cs="Arial"/>
          <w:sz w:val="24"/>
          <w:szCs w:val="24"/>
        </w:rPr>
        <w:tab/>
        <w:t>per le ulteriori attività richieste al Perito stimatore di natura libero</w:t>
      </w:r>
      <w:r w:rsidR="00E276AF" w:rsidRPr="006F7FB0">
        <w:rPr>
          <w:rFonts w:ascii="Arial" w:hAnsi="Arial" w:cs="Arial"/>
          <w:sz w:val="24"/>
          <w:szCs w:val="24"/>
        </w:rPr>
        <w:t>/</w:t>
      </w:r>
      <w:r w:rsidRPr="006F7FB0">
        <w:rPr>
          <w:rFonts w:ascii="Arial" w:hAnsi="Arial" w:cs="Arial"/>
          <w:sz w:val="24"/>
          <w:szCs w:val="24"/>
        </w:rPr>
        <w:t>professionale, in cui è necessaria l'abilitazione all'esercizio della professione e che, di conseguenza, prevedano anche un'assunzione di responsabilità nei confronti di ulteriori soggetti e della Pubblica Amministrazione.</w:t>
      </w:r>
    </w:p>
    <w:p w14:paraId="657F9A5C" w14:textId="77777777" w:rsidR="00E772D2" w:rsidRPr="006F7FB0" w:rsidRDefault="00E772D2" w:rsidP="00E772D2">
      <w:pPr>
        <w:jc w:val="both"/>
        <w:rPr>
          <w:rFonts w:ascii="Arial" w:hAnsi="Arial" w:cs="Arial"/>
          <w:sz w:val="24"/>
          <w:szCs w:val="24"/>
        </w:rPr>
      </w:pPr>
      <w:r w:rsidRPr="006F7FB0">
        <w:rPr>
          <w:rFonts w:ascii="Arial" w:hAnsi="Arial" w:cs="Arial"/>
          <w:sz w:val="24"/>
          <w:szCs w:val="24"/>
        </w:rPr>
        <w:t>In ogni caso, le vacazioni devono essere calcolate, in ossequio al dato normativo, con riferimento alle ore che sono state strettamente necessarie per l'espletamento dell'incarico e indipendentemente dal termine assegnato per il deposito.</w:t>
      </w:r>
    </w:p>
    <w:p w14:paraId="6B51A093" w14:textId="29F11690" w:rsidR="00E772D2" w:rsidRPr="006F7FB0" w:rsidRDefault="00E772D2" w:rsidP="00E276AF">
      <w:pPr>
        <w:pStyle w:val="Paragrafoelenco"/>
        <w:numPr>
          <w:ilvl w:val="0"/>
          <w:numId w:val="1"/>
        </w:numPr>
        <w:jc w:val="both"/>
        <w:rPr>
          <w:rFonts w:ascii="Arial" w:hAnsi="Arial" w:cs="Arial"/>
          <w:b/>
          <w:bCs/>
          <w:sz w:val="24"/>
          <w:szCs w:val="24"/>
        </w:rPr>
      </w:pPr>
      <w:r w:rsidRPr="006F7FB0">
        <w:rPr>
          <w:rFonts w:ascii="Arial" w:hAnsi="Arial" w:cs="Arial"/>
          <w:b/>
          <w:bCs/>
          <w:sz w:val="24"/>
          <w:szCs w:val="24"/>
        </w:rPr>
        <w:t>Spese</w:t>
      </w:r>
    </w:p>
    <w:p w14:paraId="358A097C" w14:textId="7A510756" w:rsidR="00E772D2" w:rsidRPr="006F7FB0" w:rsidRDefault="00E772D2" w:rsidP="00E772D2">
      <w:pPr>
        <w:jc w:val="both"/>
        <w:rPr>
          <w:rFonts w:ascii="Arial" w:hAnsi="Arial" w:cs="Arial"/>
          <w:b/>
          <w:bCs/>
          <w:sz w:val="24"/>
          <w:szCs w:val="24"/>
        </w:rPr>
      </w:pPr>
      <w:r w:rsidRPr="006F7FB0">
        <w:rPr>
          <w:rFonts w:ascii="Arial" w:hAnsi="Arial" w:cs="Arial"/>
          <w:b/>
          <w:bCs/>
          <w:sz w:val="24"/>
          <w:szCs w:val="24"/>
        </w:rPr>
        <w:t>Spese imponibili</w:t>
      </w:r>
    </w:p>
    <w:p w14:paraId="0B9AAB0C" w14:textId="77777777" w:rsidR="00E772D2" w:rsidRPr="006F7FB0" w:rsidRDefault="00E772D2" w:rsidP="00E772D2">
      <w:pPr>
        <w:jc w:val="both"/>
        <w:rPr>
          <w:rFonts w:ascii="Arial" w:hAnsi="Arial" w:cs="Arial"/>
          <w:sz w:val="24"/>
          <w:szCs w:val="24"/>
        </w:rPr>
      </w:pPr>
      <w:r w:rsidRPr="006F7FB0">
        <w:rPr>
          <w:rFonts w:ascii="Arial" w:hAnsi="Arial" w:cs="Arial"/>
          <w:sz w:val="24"/>
          <w:szCs w:val="24"/>
        </w:rPr>
        <w:t>Per le spese rimborsabili, ai sensi dell'art. 56 DPR 115/2002, l'Esperto dovrà presentare una nota specifica delle spese sostenute per l'adempimento dell'incarico e allegare la corrispondente documentazione. Le spese devono essere, oltre che documentate, anche necessarie.</w:t>
      </w:r>
    </w:p>
    <w:p w14:paraId="47A0AC66" w14:textId="77777777" w:rsidR="00E772D2" w:rsidRPr="006F7FB0" w:rsidRDefault="00E772D2" w:rsidP="00E772D2">
      <w:pPr>
        <w:jc w:val="both"/>
        <w:rPr>
          <w:rFonts w:ascii="Arial" w:hAnsi="Arial" w:cs="Arial"/>
          <w:sz w:val="24"/>
          <w:szCs w:val="24"/>
          <w:u w:val="single"/>
        </w:rPr>
      </w:pPr>
      <w:r w:rsidRPr="006F7FB0">
        <w:rPr>
          <w:rFonts w:ascii="Arial" w:hAnsi="Arial" w:cs="Arial"/>
          <w:sz w:val="24"/>
          <w:szCs w:val="24"/>
          <w:u w:val="single"/>
        </w:rPr>
        <w:t>Non sono rimborsabili spese per eventuali collaboratori, se non espressamente autorizzati dal Giudice.</w:t>
      </w:r>
    </w:p>
    <w:p w14:paraId="7A029201" w14:textId="77777777" w:rsidR="00E772D2" w:rsidRPr="006F7FB0" w:rsidRDefault="00E772D2" w:rsidP="00E772D2">
      <w:pPr>
        <w:jc w:val="both"/>
        <w:rPr>
          <w:rFonts w:ascii="Arial" w:hAnsi="Arial" w:cs="Arial"/>
          <w:b/>
          <w:bCs/>
          <w:sz w:val="24"/>
          <w:szCs w:val="24"/>
        </w:rPr>
      </w:pPr>
      <w:r w:rsidRPr="006F7FB0">
        <w:rPr>
          <w:rFonts w:ascii="Arial" w:hAnsi="Arial" w:cs="Arial"/>
          <w:b/>
          <w:bCs/>
          <w:sz w:val="24"/>
          <w:szCs w:val="24"/>
        </w:rPr>
        <w:t>Spese di viaggio</w:t>
      </w:r>
    </w:p>
    <w:p w14:paraId="4FA81F1B" w14:textId="77777777" w:rsidR="00E772D2" w:rsidRPr="006F7FB0" w:rsidRDefault="00E772D2" w:rsidP="00E772D2">
      <w:pPr>
        <w:jc w:val="both"/>
        <w:rPr>
          <w:rFonts w:ascii="Arial" w:hAnsi="Arial" w:cs="Arial"/>
          <w:sz w:val="24"/>
          <w:szCs w:val="24"/>
        </w:rPr>
      </w:pPr>
      <w:r w:rsidRPr="006F7FB0">
        <w:rPr>
          <w:rFonts w:ascii="Arial" w:hAnsi="Arial" w:cs="Arial"/>
          <w:sz w:val="24"/>
          <w:szCs w:val="24"/>
        </w:rPr>
        <w:t>Sono riconosciute all'Estimatore le spese di viaggio, solo per spostamenti al di fuori del territorio del Comune capoluogo, con le seguenti modalità:</w:t>
      </w:r>
    </w:p>
    <w:p w14:paraId="7FBE3AA0" w14:textId="7BAA6A67" w:rsidR="00E772D2" w:rsidRPr="006F7FB0" w:rsidRDefault="00E772D2" w:rsidP="00E276AF">
      <w:pPr>
        <w:pStyle w:val="Paragrafoelenco"/>
        <w:numPr>
          <w:ilvl w:val="0"/>
          <w:numId w:val="4"/>
        </w:numPr>
        <w:jc w:val="both"/>
        <w:rPr>
          <w:rFonts w:ascii="Arial" w:hAnsi="Arial" w:cs="Arial"/>
          <w:sz w:val="24"/>
          <w:szCs w:val="24"/>
        </w:rPr>
      </w:pPr>
      <w:r w:rsidRPr="006F7FB0">
        <w:rPr>
          <w:rFonts w:ascii="Arial" w:hAnsi="Arial" w:cs="Arial"/>
          <w:sz w:val="24"/>
          <w:szCs w:val="24"/>
        </w:rPr>
        <w:t>in base alle tariffe di prima classe sui servizi di linea;</w:t>
      </w:r>
    </w:p>
    <w:p w14:paraId="3FDC1AF0" w14:textId="0364315D" w:rsidR="00E772D2" w:rsidRPr="006F7FB0" w:rsidRDefault="00E772D2" w:rsidP="00E276AF">
      <w:pPr>
        <w:pStyle w:val="Paragrafoelenco"/>
        <w:numPr>
          <w:ilvl w:val="0"/>
          <w:numId w:val="4"/>
        </w:numPr>
        <w:jc w:val="both"/>
        <w:rPr>
          <w:rFonts w:ascii="Arial" w:hAnsi="Arial" w:cs="Arial"/>
          <w:sz w:val="24"/>
          <w:szCs w:val="24"/>
        </w:rPr>
      </w:pPr>
      <w:r w:rsidRPr="006F7FB0">
        <w:rPr>
          <w:rFonts w:ascii="Arial" w:hAnsi="Arial" w:cs="Arial"/>
          <w:sz w:val="24"/>
          <w:szCs w:val="24"/>
        </w:rPr>
        <w:t>in base al prezzo del biglietto aereo se previamente autorizzato;</w:t>
      </w:r>
    </w:p>
    <w:p w14:paraId="7A024B1E" w14:textId="4A29B0C8" w:rsidR="00E772D2" w:rsidRPr="006F7FB0" w:rsidRDefault="00E772D2" w:rsidP="00E276AF">
      <w:pPr>
        <w:pStyle w:val="Paragrafoelenco"/>
        <w:numPr>
          <w:ilvl w:val="0"/>
          <w:numId w:val="4"/>
        </w:numPr>
        <w:jc w:val="both"/>
        <w:rPr>
          <w:rFonts w:ascii="Arial" w:hAnsi="Arial" w:cs="Arial"/>
          <w:sz w:val="24"/>
          <w:szCs w:val="24"/>
        </w:rPr>
      </w:pPr>
      <w:r w:rsidRPr="006F7FB0">
        <w:rPr>
          <w:rFonts w:ascii="Arial" w:hAnsi="Arial" w:cs="Arial"/>
          <w:sz w:val="24"/>
          <w:szCs w:val="24"/>
        </w:rPr>
        <w:t>in caso di autorizzazione all'uso del mezzo proprio: rimborso chilometrico (indennità chilometrica) sulla base delle tabelle ACI (reperibili su internet), in dipendenza del mezzo di proprietà dell'Esperto;</w:t>
      </w:r>
    </w:p>
    <w:p w14:paraId="780504B5" w14:textId="77777777" w:rsidR="00E772D2" w:rsidRPr="006F7FB0" w:rsidRDefault="00E772D2" w:rsidP="00E772D2">
      <w:pPr>
        <w:jc w:val="both"/>
        <w:rPr>
          <w:rFonts w:ascii="Arial" w:hAnsi="Arial" w:cs="Arial"/>
          <w:sz w:val="24"/>
          <w:szCs w:val="24"/>
        </w:rPr>
      </w:pPr>
      <w:r w:rsidRPr="006F7FB0">
        <w:rPr>
          <w:rFonts w:ascii="Arial" w:hAnsi="Arial" w:cs="Arial"/>
          <w:sz w:val="24"/>
          <w:szCs w:val="24"/>
        </w:rPr>
        <w:t xml:space="preserve">Ovviamente, non sono rimborsabili le spese "per e </w:t>
      </w:r>
      <w:proofErr w:type="spellStart"/>
      <w:r w:rsidRPr="006F7FB0">
        <w:rPr>
          <w:rFonts w:ascii="Arial" w:hAnsi="Arial" w:cs="Arial"/>
          <w:sz w:val="24"/>
          <w:szCs w:val="24"/>
        </w:rPr>
        <w:t>da il</w:t>
      </w:r>
      <w:proofErr w:type="spellEnd"/>
      <w:r w:rsidRPr="006F7FB0">
        <w:rPr>
          <w:rFonts w:ascii="Arial" w:hAnsi="Arial" w:cs="Arial"/>
          <w:sz w:val="24"/>
          <w:szCs w:val="24"/>
        </w:rPr>
        <w:t xml:space="preserve"> Tribunale", né viaggi effettuati per trasporti non giustificati della natura dell'incarico.</w:t>
      </w:r>
    </w:p>
    <w:p w14:paraId="73929860" w14:textId="77777777" w:rsidR="00E772D2" w:rsidRPr="006F7FB0" w:rsidRDefault="00E772D2" w:rsidP="00E772D2">
      <w:pPr>
        <w:jc w:val="both"/>
        <w:rPr>
          <w:rFonts w:ascii="Arial" w:hAnsi="Arial" w:cs="Arial"/>
          <w:b/>
          <w:bCs/>
          <w:sz w:val="24"/>
          <w:szCs w:val="24"/>
        </w:rPr>
      </w:pPr>
      <w:r w:rsidRPr="006F7FB0">
        <w:rPr>
          <w:rFonts w:ascii="Arial" w:hAnsi="Arial" w:cs="Arial"/>
          <w:b/>
          <w:bCs/>
          <w:sz w:val="24"/>
          <w:szCs w:val="24"/>
        </w:rPr>
        <w:t>Spese generali</w:t>
      </w:r>
    </w:p>
    <w:p w14:paraId="59EC8832" w14:textId="77777777" w:rsidR="00E772D2" w:rsidRPr="006F7FB0" w:rsidRDefault="00E772D2" w:rsidP="00E772D2">
      <w:pPr>
        <w:jc w:val="both"/>
        <w:rPr>
          <w:rFonts w:ascii="Arial" w:hAnsi="Arial" w:cs="Arial"/>
          <w:sz w:val="24"/>
          <w:szCs w:val="24"/>
        </w:rPr>
      </w:pPr>
      <w:r w:rsidRPr="006F7FB0">
        <w:rPr>
          <w:rFonts w:ascii="Arial" w:hAnsi="Arial" w:cs="Arial"/>
          <w:sz w:val="24"/>
          <w:szCs w:val="24"/>
        </w:rPr>
        <w:t>Non sarà previsto il rimborso delle spese generali, in quanto non indicate dal legislatore come spese rimborsabili ai sensi del DPR 115/2002.</w:t>
      </w:r>
    </w:p>
    <w:p w14:paraId="6231C09A" w14:textId="69A78B9A" w:rsidR="00E772D2" w:rsidRPr="006F7FB0" w:rsidRDefault="00E772D2" w:rsidP="00E772D2">
      <w:pPr>
        <w:jc w:val="both"/>
        <w:rPr>
          <w:rFonts w:ascii="Arial" w:hAnsi="Arial" w:cs="Arial"/>
          <w:b/>
          <w:bCs/>
          <w:sz w:val="24"/>
          <w:szCs w:val="24"/>
        </w:rPr>
      </w:pPr>
      <w:r w:rsidRPr="006F7FB0">
        <w:rPr>
          <w:rFonts w:ascii="Arial" w:hAnsi="Arial" w:cs="Arial"/>
          <w:b/>
          <w:bCs/>
          <w:sz w:val="24"/>
          <w:szCs w:val="24"/>
        </w:rPr>
        <w:t>Spese non imponibili</w:t>
      </w:r>
    </w:p>
    <w:p w14:paraId="29B6B701" w14:textId="77777777" w:rsidR="00E772D2" w:rsidRPr="006F7FB0" w:rsidRDefault="00E772D2" w:rsidP="00E772D2">
      <w:pPr>
        <w:jc w:val="both"/>
        <w:rPr>
          <w:rFonts w:ascii="Arial" w:hAnsi="Arial" w:cs="Arial"/>
          <w:sz w:val="24"/>
          <w:szCs w:val="24"/>
        </w:rPr>
      </w:pPr>
      <w:r w:rsidRPr="006F7FB0">
        <w:rPr>
          <w:rFonts w:ascii="Arial" w:hAnsi="Arial" w:cs="Arial"/>
          <w:sz w:val="24"/>
          <w:szCs w:val="24"/>
        </w:rPr>
        <w:lastRenderedPageBreak/>
        <w:t>Sono rimborsate tutte le spese necessarie all'incarico, compreso l'ausilio di prestatori d'opera strumentali, previamente autorizzato, il cui onorario deve essere computato con gli stessi criteri di quello dell'ausiliario del giudice, quando sono inequivocabilmente riferibili alla procedura (ad esempio: spese postali, diritti comunali/ erariali, ecc.).</w:t>
      </w:r>
    </w:p>
    <w:p w14:paraId="619759C8" w14:textId="77777777" w:rsidR="00E772D2" w:rsidRPr="006F7FB0" w:rsidRDefault="00E772D2" w:rsidP="00E772D2">
      <w:pPr>
        <w:jc w:val="both"/>
        <w:rPr>
          <w:rFonts w:ascii="Arial" w:hAnsi="Arial" w:cs="Arial"/>
          <w:sz w:val="24"/>
          <w:szCs w:val="24"/>
        </w:rPr>
      </w:pPr>
      <w:r w:rsidRPr="006F7FB0">
        <w:rPr>
          <w:rFonts w:ascii="Arial" w:hAnsi="Arial" w:cs="Arial"/>
          <w:sz w:val="24"/>
          <w:szCs w:val="24"/>
        </w:rPr>
        <w:t>Per le spese non imponibili, l'Esperto dovrà presentare una specifica nota ed allegare la corrispondente documentazione.</w:t>
      </w:r>
    </w:p>
    <w:p w14:paraId="6D507A11" w14:textId="77777777" w:rsidR="00E276AF" w:rsidRPr="006F7FB0" w:rsidRDefault="00E772D2" w:rsidP="00E276AF">
      <w:pPr>
        <w:jc w:val="both"/>
        <w:rPr>
          <w:rFonts w:ascii="Arial" w:hAnsi="Arial" w:cs="Arial"/>
          <w:sz w:val="24"/>
          <w:szCs w:val="24"/>
        </w:rPr>
      </w:pPr>
      <w:r w:rsidRPr="006F7FB0">
        <w:rPr>
          <w:rFonts w:ascii="Arial" w:hAnsi="Arial" w:cs="Arial"/>
          <w:sz w:val="24"/>
          <w:szCs w:val="24"/>
        </w:rPr>
        <w:t>Tutte le spese (imponibili e non) devono essere analiticamente documentate.</w:t>
      </w:r>
    </w:p>
    <w:p w14:paraId="1CD93178" w14:textId="6582FDD3" w:rsidR="00E772D2" w:rsidRPr="006F7FB0" w:rsidRDefault="00E772D2" w:rsidP="00E276AF">
      <w:pPr>
        <w:jc w:val="both"/>
        <w:rPr>
          <w:rFonts w:ascii="Arial" w:hAnsi="Arial" w:cs="Arial"/>
          <w:sz w:val="24"/>
          <w:szCs w:val="24"/>
        </w:rPr>
      </w:pPr>
      <w:r w:rsidRPr="006F7FB0">
        <w:rPr>
          <w:rFonts w:ascii="Arial" w:hAnsi="Arial" w:cs="Arial"/>
          <w:b/>
          <w:bCs/>
          <w:sz w:val="24"/>
          <w:szCs w:val="24"/>
        </w:rPr>
        <w:t>Ulteriori precisazioni</w:t>
      </w:r>
    </w:p>
    <w:p w14:paraId="534B892E" w14:textId="77777777" w:rsidR="00E772D2" w:rsidRPr="006F7FB0" w:rsidRDefault="00E772D2" w:rsidP="00E772D2">
      <w:pPr>
        <w:jc w:val="both"/>
        <w:rPr>
          <w:rFonts w:ascii="Arial" w:hAnsi="Arial" w:cs="Arial"/>
          <w:sz w:val="24"/>
          <w:szCs w:val="24"/>
        </w:rPr>
      </w:pPr>
      <w:r w:rsidRPr="006F7FB0">
        <w:rPr>
          <w:rFonts w:ascii="Arial" w:hAnsi="Arial" w:cs="Arial"/>
          <w:sz w:val="24"/>
          <w:szCs w:val="24"/>
        </w:rPr>
        <w:t>1.</w:t>
      </w:r>
      <w:r w:rsidRPr="006F7FB0">
        <w:rPr>
          <w:rFonts w:ascii="Arial" w:hAnsi="Arial" w:cs="Arial"/>
          <w:sz w:val="24"/>
          <w:szCs w:val="24"/>
        </w:rPr>
        <w:tab/>
        <w:t>L'Esperto dovrà provvedere a depositare l'istanza di liquidazione dell'acconto contestualmente al deposito della relazione, nella misura stabilita dall'art. 161 disp. att. Cpc.</w:t>
      </w:r>
    </w:p>
    <w:p w14:paraId="13DA9995" w14:textId="77777777" w:rsidR="00E772D2" w:rsidRPr="006F7FB0" w:rsidRDefault="00E772D2" w:rsidP="00E772D2">
      <w:pPr>
        <w:jc w:val="both"/>
        <w:rPr>
          <w:rFonts w:ascii="Arial" w:hAnsi="Arial" w:cs="Arial"/>
          <w:sz w:val="24"/>
          <w:szCs w:val="24"/>
        </w:rPr>
      </w:pPr>
      <w:r w:rsidRPr="006F7FB0">
        <w:rPr>
          <w:rFonts w:ascii="Arial" w:hAnsi="Arial" w:cs="Arial"/>
          <w:sz w:val="24"/>
          <w:szCs w:val="24"/>
        </w:rPr>
        <w:t>2.</w:t>
      </w:r>
      <w:r w:rsidRPr="006F7FB0">
        <w:rPr>
          <w:rFonts w:ascii="Arial" w:hAnsi="Arial" w:cs="Arial"/>
          <w:sz w:val="24"/>
          <w:szCs w:val="24"/>
        </w:rPr>
        <w:tab/>
        <w:t>L'Esperto dovrà poi provvedere a depositare entro trenta giorni dalla aggiudicazione la richiesta di liquidazione del proprio compenso a saldo.</w:t>
      </w:r>
    </w:p>
    <w:p w14:paraId="4442A3DF" w14:textId="77777777" w:rsidR="00E772D2" w:rsidRPr="006F7FB0" w:rsidRDefault="00E772D2" w:rsidP="00E772D2">
      <w:pPr>
        <w:jc w:val="both"/>
        <w:rPr>
          <w:rFonts w:ascii="Arial" w:hAnsi="Arial" w:cs="Arial"/>
          <w:sz w:val="24"/>
          <w:szCs w:val="24"/>
          <w:u w:val="single"/>
        </w:rPr>
      </w:pPr>
      <w:r w:rsidRPr="006F7FB0">
        <w:rPr>
          <w:rFonts w:ascii="Arial" w:hAnsi="Arial" w:cs="Arial"/>
          <w:sz w:val="24"/>
          <w:szCs w:val="24"/>
        </w:rPr>
        <w:t>3.</w:t>
      </w:r>
      <w:r w:rsidRPr="006F7FB0">
        <w:rPr>
          <w:rFonts w:ascii="Arial" w:hAnsi="Arial" w:cs="Arial"/>
          <w:sz w:val="24"/>
          <w:szCs w:val="24"/>
        </w:rPr>
        <w:tab/>
      </w:r>
      <w:r w:rsidRPr="006F7FB0">
        <w:rPr>
          <w:rFonts w:ascii="Arial" w:hAnsi="Arial" w:cs="Arial"/>
          <w:sz w:val="24"/>
          <w:szCs w:val="24"/>
          <w:u w:val="single"/>
        </w:rPr>
        <w:t>Eventuali proroghe devono essere chieste prima della scadenza del termine per il deposito della perizia e per motivate ragioni non imputabili all'Esperto</w:t>
      </w:r>
      <w:r w:rsidRPr="006F7FB0">
        <w:rPr>
          <w:rFonts w:ascii="Arial" w:hAnsi="Arial" w:cs="Arial"/>
          <w:sz w:val="24"/>
          <w:szCs w:val="24"/>
        </w:rPr>
        <w:t xml:space="preserve"> (ad esempio: accesso difficoltoso all'immobile, ritardi nel rilascio della documentazione da parte del Comune etc.); i termini prorogati decorrono dalla scadenza del precedente termine; nell'istanza di proroga il Perito dovrà indicare </w:t>
      </w:r>
      <w:r w:rsidRPr="006F7FB0">
        <w:rPr>
          <w:rFonts w:ascii="Arial" w:hAnsi="Arial" w:cs="Arial"/>
          <w:sz w:val="24"/>
          <w:szCs w:val="24"/>
          <w:u w:val="single"/>
        </w:rPr>
        <w:t>la data di scadenza del deposito che non potrà rispettare, il numero dei giorni di proroga richiesti e la nuova data di deposito della relazione peritale.</w:t>
      </w:r>
    </w:p>
    <w:p w14:paraId="4B958B6F" w14:textId="77777777" w:rsidR="00E772D2" w:rsidRPr="006F7FB0" w:rsidRDefault="00E772D2" w:rsidP="00E772D2">
      <w:pPr>
        <w:jc w:val="both"/>
        <w:rPr>
          <w:rFonts w:ascii="Arial" w:hAnsi="Arial" w:cs="Arial"/>
          <w:sz w:val="24"/>
          <w:szCs w:val="24"/>
        </w:rPr>
      </w:pPr>
      <w:r w:rsidRPr="006F7FB0">
        <w:rPr>
          <w:rFonts w:ascii="Arial" w:hAnsi="Arial" w:cs="Arial"/>
          <w:sz w:val="24"/>
          <w:szCs w:val="24"/>
        </w:rPr>
        <w:t>4.</w:t>
      </w:r>
      <w:r w:rsidRPr="006F7FB0">
        <w:rPr>
          <w:rFonts w:ascii="Arial" w:hAnsi="Arial" w:cs="Arial"/>
          <w:sz w:val="24"/>
          <w:szCs w:val="24"/>
        </w:rPr>
        <w:tab/>
        <w:t>Il ritardo non giustificato nel deposito della relazione nel termine come fissato o prorogato comporta la riduzione ex art. 52, comma 2, del DPR 115/2002, con riduzione degli onorari di un quarto e non riconoscimento, per gli onorari a tempo, del periodo successive alla scadenza del termine.</w:t>
      </w:r>
    </w:p>
    <w:p w14:paraId="138A2109" w14:textId="77BAC892" w:rsidR="00E772D2" w:rsidRPr="006F7FB0" w:rsidRDefault="00E772D2" w:rsidP="006F7FB0">
      <w:pPr>
        <w:jc w:val="both"/>
        <w:rPr>
          <w:rFonts w:ascii="Arial" w:hAnsi="Arial" w:cs="Arial"/>
          <w:sz w:val="24"/>
          <w:szCs w:val="24"/>
        </w:rPr>
      </w:pPr>
      <w:r w:rsidRPr="006F7FB0">
        <w:rPr>
          <w:rFonts w:ascii="Arial" w:hAnsi="Arial" w:cs="Arial"/>
          <w:sz w:val="24"/>
          <w:szCs w:val="24"/>
          <w:highlight w:val="yellow"/>
        </w:rPr>
        <w:t xml:space="preserve">Si comunichi al Dirigente Amministrativo, a tutti i giudici del Tribunale, nonché all'Ordine degli Avvocati di </w:t>
      </w:r>
      <w:r w:rsidR="006F7FB0" w:rsidRPr="006F7FB0">
        <w:rPr>
          <w:rFonts w:ascii="Arial" w:hAnsi="Arial" w:cs="Arial"/>
          <w:sz w:val="24"/>
          <w:szCs w:val="24"/>
          <w:highlight w:val="yellow"/>
        </w:rPr>
        <w:t>Lagonegro;</w:t>
      </w:r>
      <w:r w:rsidRPr="006F7FB0">
        <w:rPr>
          <w:rFonts w:ascii="Arial" w:hAnsi="Arial" w:cs="Arial"/>
          <w:sz w:val="24"/>
          <w:szCs w:val="24"/>
          <w:highlight w:val="yellow"/>
        </w:rPr>
        <w:t xml:space="preserve"> al Collegio dei Periti Agrari e Associazione Tecnici Agricoli di </w:t>
      </w:r>
      <w:r w:rsidR="006F7FB0" w:rsidRPr="006F7FB0">
        <w:rPr>
          <w:rFonts w:ascii="Arial" w:hAnsi="Arial" w:cs="Arial"/>
          <w:sz w:val="24"/>
          <w:szCs w:val="24"/>
          <w:highlight w:val="yellow"/>
        </w:rPr>
        <w:t>Lagonegro</w:t>
      </w:r>
      <w:r w:rsidRPr="006F7FB0">
        <w:rPr>
          <w:rFonts w:ascii="Arial" w:hAnsi="Arial" w:cs="Arial"/>
          <w:sz w:val="24"/>
          <w:szCs w:val="24"/>
          <w:highlight w:val="yellow"/>
        </w:rPr>
        <w:t xml:space="preserve">; al Collegio dei Periti Industriali di </w:t>
      </w:r>
      <w:r w:rsidR="006F7FB0" w:rsidRPr="006F7FB0">
        <w:rPr>
          <w:rFonts w:ascii="Arial" w:hAnsi="Arial" w:cs="Arial"/>
          <w:sz w:val="24"/>
          <w:szCs w:val="24"/>
          <w:highlight w:val="yellow"/>
        </w:rPr>
        <w:t>Lagonegro</w:t>
      </w:r>
      <w:r w:rsidRPr="006F7FB0">
        <w:rPr>
          <w:rFonts w:ascii="Arial" w:hAnsi="Arial" w:cs="Arial"/>
          <w:sz w:val="24"/>
          <w:szCs w:val="24"/>
          <w:highlight w:val="yellow"/>
        </w:rPr>
        <w:t xml:space="preserve">; al Collegio dei Geometri e Geometri Laureati della Provincia di </w:t>
      </w:r>
      <w:r w:rsidR="006F7FB0" w:rsidRPr="006F7FB0">
        <w:rPr>
          <w:rFonts w:ascii="Arial" w:hAnsi="Arial" w:cs="Arial"/>
          <w:sz w:val="24"/>
          <w:szCs w:val="24"/>
          <w:highlight w:val="yellow"/>
        </w:rPr>
        <w:t>Lagonegro</w:t>
      </w:r>
      <w:r w:rsidRPr="006F7FB0">
        <w:rPr>
          <w:rFonts w:ascii="Arial" w:hAnsi="Arial" w:cs="Arial"/>
          <w:sz w:val="24"/>
          <w:szCs w:val="24"/>
          <w:highlight w:val="yellow"/>
        </w:rPr>
        <w:t xml:space="preserve">; all'Ordine degli Architetti di </w:t>
      </w:r>
      <w:r w:rsidR="006F7FB0" w:rsidRPr="006F7FB0">
        <w:rPr>
          <w:rFonts w:ascii="Arial" w:hAnsi="Arial" w:cs="Arial"/>
          <w:sz w:val="24"/>
          <w:szCs w:val="24"/>
          <w:highlight w:val="yellow"/>
        </w:rPr>
        <w:t>Lagonegro</w:t>
      </w:r>
      <w:r w:rsidRPr="006F7FB0">
        <w:rPr>
          <w:rFonts w:ascii="Arial" w:hAnsi="Arial" w:cs="Arial"/>
          <w:sz w:val="24"/>
          <w:szCs w:val="24"/>
          <w:highlight w:val="yellow"/>
        </w:rPr>
        <w:t xml:space="preserve">; all'Ordine dei Dottori Commercialisti e degli Esperti Contabili di </w:t>
      </w:r>
      <w:r w:rsidR="006F7FB0" w:rsidRPr="006F7FB0">
        <w:rPr>
          <w:rFonts w:ascii="Arial" w:hAnsi="Arial" w:cs="Arial"/>
          <w:sz w:val="24"/>
          <w:szCs w:val="24"/>
          <w:highlight w:val="yellow"/>
        </w:rPr>
        <w:t>Lagonegro e Sala Consilina</w:t>
      </w:r>
      <w:r w:rsidRPr="006F7FB0">
        <w:rPr>
          <w:rFonts w:ascii="Arial" w:hAnsi="Arial" w:cs="Arial"/>
          <w:sz w:val="24"/>
          <w:szCs w:val="24"/>
          <w:highlight w:val="yellow"/>
        </w:rPr>
        <w:t xml:space="preserve">; all'Ordine degli Ingegneri di </w:t>
      </w:r>
      <w:r w:rsidR="006F7FB0" w:rsidRPr="006F7FB0">
        <w:rPr>
          <w:rFonts w:ascii="Arial" w:hAnsi="Arial" w:cs="Arial"/>
          <w:sz w:val="24"/>
          <w:szCs w:val="24"/>
          <w:highlight w:val="yellow"/>
        </w:rPr>
        <w:t>Lagonegro.</w:t>
      </w:r>
      <w:r w:rsidR="006F7FB0" w:rsidRPr="006F7FB0">
        <w:rPr>
          <w:rFonts w:ascii="Arial" w:hAnsi="Arial" w:cs="Arial"/>
          <w:sz w:val="24"/>
          <w:szCs w:val="24"/>
        </w:rPr>
        <w:t xml:space="preserve"> </w:t>
      </w:r>
    </w:p>
    <w:p w14:paraId="7EEFF6FB" w14:textId="3F665016" w:rsidR="00706804" w:rsidRPr="006F7FB0" w:rsidRDefault="00706804" w:rsidP="00E772D2">
      <w:pPr>
        <w:jc w:val="both"/>
        <w:rPr>
          <w:rFonts w:ascii="Arial" w:hAnsi="Arial" w:cs="Arial"/>
          <w:sz w:val="24"/>
          <w:szCs w:val="24"/>
        </w:rPr>
      </w:pPr>
    </w:p>
    <w:sectPr w:rsidR="00706804" w:rsidRPr="006F7FB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ED5B60" w14:textId="77777777" w:rsidR="00AF4D55" w:rsidRDefault="00AF4D55" w:rsidP="00E276AF">
      <w:pPr>
        <w:spacing w:after="0" w:line="240" w:lineRule="auto"/>
      </w:pPr>
      <w:r>
        <w:separator/>
      </w:r>
    </w:p>
  </w:endnote>
  <w:endnote w:type="continuationSeparator" w:id="0">
    <w:p w14:paraId="62B103EF" w14:textId="77777777" w:rsidR="00AF4D55" w:rsidRDefault="00AF4D55" w:rsidP="00E27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E57CBB" w14:textId="77777777" w:rsidR="00AF4D55" w:rsidRDefault="00AF4D55" w:rsidP="00E276AF">
      <w:pPr>
        <w:spacing w:after="0" w:line="240" w:lineRule="auto"/>
      </w:pPr>
      <w:r>
        <w:separator/>
      </w:r>
    </w:p>
  </w:footnote>
  <w:footnote w:type="continuationSeparator" w:id="0">
    <w:p w14:paraId="6DDF2048" w14:textId="77777777" w:rsidR="00AF4D55" w:rsidRDefault="00AF4D55" w:rsidP="00E276AF">
      <w:pPr>
        <w:spacing w:after="0" w:line="240" w:lineRule="auto"/>
      </w:pPr>
      <w:r>
        <w:continuationSeparator/>
      </w:r>
    </w:p>
  </w:footnote>
  <w:footnote w:id="1">
    <w:p w14:paraId="796C4477" w14:textId="77777777" w:rsidR="00E276AF" w:rsidRPr="00E276AF" w:rsidRDefault="00E276AF" w:rsidP="00E276AF">
      <w:pPr>
        <w:pStyle w:val="Testonotaapidipagina"/>
        <w:jc w:val="both"/>
      </w:pPr>
      <w:r>
        <w:rPr>
          <w:rStyle w:val="Rimandonotaapidipagina"/>
        </w:rPr>
        <w:footnoteRef/>
      </w:r>
      <w:r>
        <w:t xml:space="preserve"> </w:t>
      </w:r>
      <w:r w:rsidRPr="00E276AF">
        <w:t>Per superiore giurisprudenza: "In tema di esecuzione forzata, l'immobile, il cui valore deve essere determinato dal giudice, a norma dell'art. 568, terzo comma, cod. proc. civ., coincide con quello che viene offerto in vendita come unico lotto, anche quando la vendita sia fatta in più lotti, non richiedendo né la disposizione in esame, né quelle che regolano la vendita senza incanto e con incanto, o la delega delle operazioni di vendita, che si proceda all'individuazione di un apposito e separato valore per ogni immobile che componga un lotto, qualora in questo vengano incluse più porzioni, a maggior ragione se considerate come un 'unica unità immobiliare, senza che neppure rilevi l'attribuzione di dati catastali autonomi ad una o alcuna di tali porzioni. La mancata individuazione di un separato valore per ciascuna delle possibili componenti di un lotto può, piuttosto, rilevare esclusivamente ove si traduca nell'erronea determinazione del giusto prezzo di vendita del lotto unitariamente considerato" (Cass. 3.2.2012, n. 1607)</w:t>
      </w:r>
      <w:r>
        <w:t xml:space="preserve">. </w:t>
      </w:r>
      <w:r w:rsidRPr="00E276AF">
        <w:t>Il compenso ex art. 13 della tabella annessa al Decreto del Ministro della Giustizia 30 maggio 2002, in base all'art. 161, comma 3, disp. att. cpc, al "Il compenso da liquidare in favore del consulente tecnico, cui sia stato affidato l'incarico di procedere ad attività di estimo di più immobili, va determinato, alla stregua dell'art. 13 delle tabelle di cui al DM 30 maggio 2002, facendo riferimento all'importo stimato, diviso per scaglioni, il quale, in caso di immobili aventi caratteristiche uguali o analoghe, va riferito alla valutazione cumulativa dell'insieme, mentre, in caso di pluralità di immobili diversi tra loro, per ciascuno di essi si deve procedere ad un 'autonoma determinazione, nel limite del massimo scaglione" (Cass. 17.3.2016, n. 5325; conforme, in precedenza</w:t>
      </w:r>
      <w:r>
        <w:t xml:space="preserve"> </w:t>
      </w:r>
      <w:r w:rsidRPr="00E276AF">
        <w:t>Cass. 20.3.2009, n. 6892).</w:t>
      </w:r>
    </w:p>
    <w:p w14:paraId="1920FA8B" w14:textId="498B90DA" w:rsidR="00E276AF" w:rsidRPr="00E276AF" w:rsidRDefault="00E276AF" w:rsidP="00E276AF">
      <w:pPr>
        <w:pStyle w:val="Testonotaapidipagina"/>
        <w:jc w:val="both"/>
      </w:pPr>
    </w:p>
    <w:p w14:paraId="5A8BE90A" w14:textId="21385DF2" w:rsidR="00E276AF" w:rsidRDefault="00E276AF" w:rsidP="00E276AF">
      <w:pPr>
        <w:pStyle w:val="Testonotaapidipagina"/>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35E3F"/>
    <w:multiLevelType w:val="hybridMultilevel"/>
    <w:tmpl w:val="D28E50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41F6413"/>
    <w:multiLevelType w:val="hybridMultilevel"/>
    <w:tmpl w:val="865632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3C02DF0"/>
    <w:multiLevelType w:val="hybridMultilevel"/>
    <w:tmpl w:val="AEC44050"/>
    <w:lvl w:ilvl="0" w:tplc="099AB9A6">
      <w:start w:val="1"/>
      <w:numFmt w:val="lowerLetter"/>
      <w:lvlText w:val="%1)"/>
      <w:lvlJc w:val="left"/>
      <w:pPr>
        <w:ind w:left="1070" w:hanging="71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5BA22C39"/>
    <w:multiLevelType w:val="hybridMultilevel"/>
    <w:tmpl w:val="97227776"/>
    <w:lvl w:ilvl="0" w:tplc="099AB9A6">
      <w:start w:val="1"/>
      <w:numFmt w:val="lowerLetter"/>
      <w:lvlText w:val="%1)"/>
      <w:lvlJc w:val="left"/>
      <w:pPr>
        <w:ind w:left="1070" w:hanging="71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660E6F2F"/>
    <w:multiLevelType w:val="hybridMultilevel"/>
    <w:tmpl w:val="865632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78D25C9D"/>
    <w:multiLevelType w:val="hybridMultilevel"/>
    <w:tmpl w:val="41F6C6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27F"/>
    <w:rsid w:val="00476962"/>
    <w:rsid w:val="005B43D5"/>
    <w:rsid w:val="006F7FB0"/>
    <w:rsid w:val="00706804"/>
    <w:rsid w:val="008F327F"/>
    <w:rsid w:val="00AF4D55"/>
    <w:rsid w:val="00E276AF"/>
    <w:rsid w:val="00E772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F84DD"/>
  <w15:chartTrackingRefBased/>
  <w15:docId w15:val="{3B6C24F5-4984-452C-BBC6-4862B918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8F32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F327F"/>
    <w:rPr>
      <w:rFonts w:ascii="Times New Roman" w:eastAsia="Times New Roman" w:hAnsi="Times New Roman" w:cs="Times New Roman"/>
      <w:b/>
      <w:bCs/>
      <w:kern w:val="36"/>
      <w:sz w:val="48"/>
      <w:szCs w:val="48"/>
      <w:lang w:eastAsia="it-IT"/>
    </w:rPr>
  </w:style>
  <w:style w:type="paragraph" w:styleId="Paragrafoelenco">
    <w:name w:val="List Paragraph"/>
    <w:basedOn w:val="Normale"/>
    <w:uiPriority w:val="34"/>
    <w:qFormat/>
    <w:rsid w:val="00E772D2"/>
    <w:pPr>
      <w:ind w:left="720"/>
      <w:contextualSpacing/>
    </w:pPr>
  </w:style>
  <w:style w:type="paragraph" w:styleId="Testonotaapidipagina">
    <w:name w:val="footnote text"/>
    <w:basedOn w:val="Normale"/>
    <w:link w:val="TestonotaapidipaginaCarattere"/>
    <w:uiPriority w:val="99"/>
    <w:semiHidden/>
    <w:unhideWhenUsed/>
    <w:rsid w:val="00E276A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276AF"/>
    <w:rPr>
      <w:sz w:val="20"/>
      <w:szCs w:val="20"/>
    </w:rPr>
  </w:style>
  <w:style w:type="character" w:styleId="Rimandonotaapidipagina">
    <w:name w:val="footnote reference"/>
    <w:basedOn w:val="Carpredefinitoparagrafo"/>
    <w:uiPriority w:val="99"/>
    <w:semiHidden/>
    <w:unhideWhenUsed/>
    <w:rsid w:val="00E276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07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E825D-A415-47E3-9D90-C4597688F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2114</Words>
  <Characters>12054</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Giuliana Santa Trotta</dc:creator>
  <cp:keywords/>
  <dc:description/>
  <cp:lastModifiedBy>Egidio Caricati</cp:lastModifiedBy>
  <cp:revision>2</cp:revision>
  <dcterms:created xsi:type="dcterms:W3CDTF">2023-11-24T11:56:00Z</dcterms:created>
  <dcterms:modified xsi:type="dcterms:W3CDTF">2023-11-24T11:56:00Z</dcterms:modified>
</cp:coreProperties>
</file>